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F9276">
      <w:pPr>
        <w:rPr>
          <w:rFonts w:hint="default" w:ascii="Times New Roman" w:hAnsi="Times New Roman" w:cs="Times New Roman"/>
          <w:b/>
          <w:color w:val="auto"/>
          <w:sz w:val="72"/>
          <w:szCs w:val="72"/>
        </w:rPr>
      </w:pPr>
      <w:bookmarkStart w:id="0" w:name="_Toc3657"/>
      <w:bookmarkStart w:id="1" w:name="_Toc7827"/>
    </w:p>
    <w:p w14:paraId="6740437D">
      <w:pPr>
        <w:ind w:firstLine="480"/>
        <w:rPr>
          <w:rFonts w:hint="default" w:ascii="Times New Roman" w:hAnsi="Times New Roman" w:cs="Times New Roman"/>
          <w:color w:val="auto"/>
        </w:rPr>
      </w:pPr>
    </w:p>
    <w:p w14:paraId="4D7C7056">
      <w:pPr>
        <w:spacing w:line="720" w:lineRule="auto"/>
        <w:jc w:val="center"/>
        <w:rPr>
          <w:rFonts w:hint="eastAsia" w:ascii="Times New Roman" w:hAnsi="Times New Roman" w:eastAsia="宋体" w:cs="Times New Roman"/>
          <w:b/>
          <w:color w:val="auto"/>
          <w:sz w:val="44"/>
          <w:szCs w:val="44"/>
        </w:rPr>
      </w:pPr>
      <w:r>
        <w:rPr>
          <w:rFonts w:hint="eastAsia" w:cs="Times New Roman"/>
          <w:b/>
          <w:color w:val="auto"/>
          <w:sz w:val="44"/>
          <w:szCs w:val="44"/>
          <w:lang w:eastAsia="zh-CN"/>
        </w:rPr>
        <w:t>青川县餐厨垃圾无害化处理、资源化利用项目</w:t>
      </w:r>
      <w:r>
        <w:rPr>
          <w:rFonts w:hint="eastAsia" w:ascii="Times New Roman" w:hAnsi="Times New Roman" w:eastAsia="宋体" w:cs="Times New Roman"/>
          <w:b/>
          <w:color w:val="auto"/>
          <w:sz w:val="44"/>
          <w:szCs w:val="44"/>
        </w:rPr>
        <w:t xml:space="preserve"> </w:t>
      </w:r>
    </w:p>
    <w:p w14:paraId="6A8CDA91">
      <w:pPr>
        <w:spacing w:line="720" w:lineRule="auto"/>
        <w:jc w:val="center"/>
        <w:rPr>
          <w:rFonts w:hint="default" w:ascii="Times New Roman" w:hAnsi="Times New Roman" w:cs="Times New Roman"/>
          <w:b/>
          <w:color w:val="auto"/>
          <w:sz w:val="52"/>
          <w:szCs w:val="52"/>
        </w:rPr>
      </w:pPr>
      <w:r>
        <w:rPr>
          <w:rFonts w:hint="default" w:ascii="Times New Roman" w:hAnsi="Times New Roman" w:cs="Times New Roman"/>
          <w:b/>
          <w:color w:val="auto"/>
          <w:sz w:val="44"/>
          <w:szCs w:val="44"/>
        </w:rPr>
        <w:t>竣工环境保护验收</w:t>
      </w:r>
      <w:r>
        <w:rPr>
          <w:rFonts w:hint="eastAsia" w:cs="Times New Roman"/>
          <w:b/>
          <w:color w:val="auto"/>
          <w:sz w:val="44"/>
          <w:szCs w:val="44"/>
          <w:lang w:eastAsia="zh-CN"/>
        </w:rPr>
        <w:t>监测</w:t>
      </w:r>
      <w:r>
        <w:rPr>
          <w:rFonts w:hint="eastAsia" w:ascii="Times New Roman" w:hAnsi="Times New Roman" w:cs="Times New Roman"/>
          <w:b/>
          <w:color w:val="auto"/>
          <w:sz w:val="44"/>
          <w:szCs w:val="44"/>
          <w:lang w:val="en-US" w:eastAsia="zh-CN"/>
        </w:rPr>
        <w:t>报告</w:t>
      </w:r>
      <w:r>
        <w:rPr>
          <w:rFonts w:hint="default" w:ascii="Times New Roman" w:hAnsi="Times New Roman" w:cs="Times New Roman"/>
          <w:b/>
          <w:color w:val="auto"/>
          <w:sz w:val="44"/>
          <w:szCs w:val="44"/>
        </w:rPr>
        <w:t>表</w:t>
      </w:r>
    </w:p>
    <w:p w14:paraId="680AB501">
      <w:pPr>
        <w:tabs>
          <w:tab w:val="left" w:pos="4991"/>
        </w:tabs>
        <w:jc w:val="left"/>
        <w:rPr>
          <w:rFonts w:hint="default" w:ascii="Times New Roman" w:hAnsi="Times New Roman" w:cs="Times New Roman"/>
          <w:b/>
          <w:color w:val="auto"/>
          <w:sz w:val="72"/>
          <w:szCs w:val="72"/>
        </w:rPr>
      </w:pPr>
      <w:r>
        <w:rPr>
          <w:rFonts w:hint="default" w:ascii="Times New Roman" w:hAnsi="Times New Roman" w:cs="Times New Roman"/>
          <w:b/>
          <w:color w:val="auto"/>
          <w:sz w:val="72"/>
          <w:szCs w:val="72"/>
        </w:rPr>
        <w:tab/>
      </w:r>
    </w:p>
    <w:p w14:paraId="5CB6D85D">
      <w:pPr>
        <w:rPr>
          <w:rFonts w:hint="default" w:ascii="Times New Roman" w:hAnsi="Times New Roman" w:cs="Times New Roman"/>
          <w:b/>
          <w:color w:val="auto"/>
          <w:sz w:val="72"/>
          <w:szCs w:val="72"/>
        </w:rPr>
      </w:pPr>
    </w:p>
    <w:p w14:paraId="6883CE2D">
      <w:pPr>
        <w:rPr>
          <w:rFonts w:hint="default" w:ascii="Times New Roman" w:hAnsi="Times New Roman" w:cs="Times New Roman"/>
          <w:b/>
          <w:color w:val="auto"/>
          <w:sz w:val="72"/>
          <w:szCs w:val="72"/>
        </w:rPr>
      </w:pPr>
    </w:p>
    <w:p w14:paraId="766CBB47">
      <w:pPr>
        <w:rPr>
          <w:rFonts w:hint="default" w:ascii="Times New Roman" w:hAnsi="Times New Roman" w:cs="Times New Roman"/>
          <w:b/>
          <w:color w:val="auto"/>
          <w:sz w:val="72"/>
          <w:szCs w:val="72"/>
        </w:rPr>
      </w:pPr>
    </w:p>
    <w:p w14:paraId="0A65DC90">
      <w:pPr>
        <w:jc w:val="center"/>
        <w:rPr>
          <w:rFonts w:hint="default" w:ascii="Times New Roman" w:hAnsi="Times New Roman" w:cs="Times New Roman"/>
          <w:b/>
          <w:color w:val="auto"/>
          <w:sz w:val="72"/>
          <w:szCs w:val="72"/>
        </w:rPr>
      </w:pPr>
    </w:p>
    <w:p w14:paraId="29FE47D3">
      <w:pPr>
        <w:adjustRightInd w:val="0"/>
        <w:snapToGrid w:val="0"/>
        <w:spacing w:line="480" w:lineRule="auto"/>
        <w:ind w:left="496" w:leftChars="236" w:right="1585" w:rightChars="755" w:firstLine="1205" w:firstLineChars="400"/>
        <w:rPr>
          <w:rFonts w:hint="default" w:ascii="Times New Roman" w:hAnsi="Times New Roman" w:cs="Times New Roman"/>
          <w:b/>
          <w:color w:val="auto"/>
          <w:sz w:val="30"/>
          <w:szCs w:val="30"/>
        </w:rPr>
      </w:pPr>
    </w:p>
    <w:p w14:paraId="5D58DBA1">
      <w:pPr>
        <w:adjustRightInd w:val="0"/>
        <w:snapToGrid w:val="0"/>
        <w:spacing w:line="480" w:lineRule="auto"/>
        <w:ind w:left="496" w:leftChars="236" w:right="1585" w:rightChars="755" w:firstLine="1205" w:firstLineChars="400"/>
        <w:rPr>
          <w:rFonts w:hint="default" w:ascii="Times New Roman" w:hAnsi="Times New Roman" w:eastAsia="宋体" w:cs="Times New Roman"/>
          <w:b/>
          <w:color w:val="auto"/>
          <w:sz w:val="30"/>
          <w:szCs w:val="30"/>
          <w:u w:val="single"/>
          <w:lang w:val="en-US" w:eastAsia="zh-CN"/>
        </w:rPr>
      </w:pPr>
      <w:r>
        <w:rPr>
          <w:rFonts w:hint="default" w:ascii="Times New Roman" w:hAnsi="Times New Roman" w:cs="Times New Roman"/>
          <w:b/>
          <w:color w:val="auto"/>
          <w:sz w:val="30"/>
          <w:szCs w:val="30"/>
        </w:rPr>
        <w:t>建设单位：</w:t>
      </w:r>
      <w:r>
        <w:rPr>
          <w:rFonts w:hint="default" w:ascii="Times New Roman" w:hAnsi="Times New Roman" w:eastAsia="宋体" w:cs="Times New Roman"/>
          <w:b/>
          <w:color w:val="auto"/>
          <w:sz w:val="30"/>
          <w:szCs w:val="30"/>
          <w:u w:val="single"/>
          <w:lang w:val="en-US" w:eastAsia="zh-CN"/>
        </w:rPr>
        <w:t xml:space="preserve"> </w:t>
      </w:r>
      <w:r>
        <w:rPr>
          <w:rFonts w:hint="eastAsia" w:cs="Times New Roman"/>
          <w:b/>
          <w:color w:val="auto"/>
          <w:sz w:val="30"/>
          <w:szCs w:val="30"/>
          <w:u w:val="single"/>
          <w:lang w:val="en-US" w:eastAsia="zh-CN"/>
        </w:rPr>
        <w:t xml:space="preserve">    </w:t>
      </w:r>
      <w:r>
        <w:rPr>
          <w:rFonts w:hint="eastAsia"/>
          <w:sz w:val="28"/>
          <w:szCs w:val="28"/>
          <w:u w:val="single"/>
        </w:rPr>
        <w:t>广元伟利森环保工程有限公司</w:t>
      </w:r>
      <w:r>
        <w:rPr>
          <w:rFonts w:hint="eastAsia"/>
          <w:sz w:val="28"/>
          <w:szCs w:val="28"/>
          <w:u w:val="single"/>
          <w:lang w:val="en-US" w:eastAsia="zh-CN"/>
        </w:rPr>
        <w:t xml:space="preserve">     </w:t>
      </w:r>
      <w:r>
        <w:rPr>
          <w:rFonts w:hint="eastAsia" w:cs="Times New Roman"/>
          <w:b/>
          <w:color w:val="auto"/>
          <w:sz w:val="30"/>
          <w:szCs w:val="30"/>
          <w:u w:val="single"/>
          <w:lang w:val="en-US" w:eastAsia="zh-CN"/>
        </w:rPr>
        <w:t xml:space="preserve">  </w:t>
      </w:r>
      <w:r>
        <w:rPr>
          <w:rFonts w:hint="eastAsia" w:ascii="Times New Roman" w:hAnsi="Times New Roman" w:eastAsia="宋体" w:cs="Times New Roman"/>
          <w:b/>
          <w:color w:val="auto"/>
          <w:sz w:val="30"/>
          <w:szCs w:val="30"/>
          <w:u w:val="single"/>
          <w:lang w:val="en-US" w:eastAsia="zh-CN"/>
        </w:rPr>
        <w:t xml:space="preserve"> </w:t>
      </w:r>
      <w:r>
        <w:rPr>
          <w:rFonts w:hint="default" w:ascii="Times New Roman" w:hAnsi="Times New Roman" w:eastAsia="宋体" w:cs="Times New Roman"/>
          <w:b/>
          <w:color w:val="auto"/>
          <w:sz w:val="30"/>
          <w:szCs w:val="30"/>
          <w:u w:val="single"/>
          <w:lang w:val="en-US" w:eastAsia="zh-CN"/>
        </w:rPr>
        <w:t xml:space="preserve"> </w:t>
      </w:r>
      <w:r>
        <w:rPr>
          <w:rFonts w:hint="eastAsia" w:ascii="Times New Roman" w:hAnsi="Times New Roman" w:eastAsia="宋体" w:cs="Times New Roman"/>
          <w:b/>
          <w:color w:val="auto"/>
          <w:sz w:val="30"/>
          <w:szCs w:val="30"/>
          <w:u w:val="single"/>
          <w:lang w:val="en-US" w:eastAsia="zh-CN"/>
        </w:rPr>
        <w:t xml:space="preserve"> </w:t>
      </w:r>
      <w:r>
        <w:rPr>
          <w:rFonts w:hint="default" w:ascii="Times New Roman" w:hAnsi="Times New Roman" w:eastAsia="宋体" w:cs="Times New Roman"/>
          <w:b/>
          <w:color w:val="auto"/>
          <w:sz w:val="30"/>
          <w:szCs w:val="30"/>
          <w:u w:val="single"/>
          <w:lang w:val="en-US" w:eastAsia="zh-CN"/>
        </w:rPr>
        <w:t xml:space="preserve"> </w:t>
      </w:r>
    </w:p>
    <w:p w14:paraId="07D61711">
      <w:pPr>
        <w:adjustRightInd w:val="0"/>
        <w:snapToGrid w:val="0"/>
        <w:spacing w:line="480" w:lineRule="auto"/>
        <w:ind w:right="1585" w:rightChars="755"/>
        <w:jc w:val="center"/>
        <w:rPr>
          <w:rFonts w:hint="default" w:ascii="Times New Roman" w:hAnsi="Times New Roman" w:eastAsia="黑体" w:cs="Times New Roman"/>
          <w:color w:val="auto"/>
          <w:sz w:val="32"/>
        </w:rPr>
      </w:pPr>
    </w:p>
    <w:p w14:paraId="0BF24B5C">
      <w:pPr>
        <w:jc w:val="center"/>
        <w:rPr>
          <w:rFonts w:hint="default" w:ascii="Times New Roman" w:hAnsi="Times New Roman" w:eastAsia="黑体" w:cs="Times New Roman"/>
          <w:color w:val="auto"/>
          <w:sz w:val="32"/>
        </w:rPr>
      </w:pPr>
    </w:p>
    <w:p w14:paraId="494DBCB3">
      <w:pPr>
        <w:jc w:val="center"/>
        <w:rPr>
          <w:rFonts w:hint="default" w:ascii="Times New Roman" w:hAnsi="Times New Roman" w:eastAsia="黑体" w:cs="Times New Roman"/>
          <w:color w:val="auto"/>
          <w:sz w:val="32"/>
        </w:rPr>
      </w:pPr>
      <w:r>
        <w:rPr>
          <w:rFonts w:hint="default" w:ascii="Times New Roman" w:hAnsi="Times New Roman" w:cs="Times New Roman"/>
          <w:b/>
          <w:color w:val="auto"/>
          <w:sz w:val="32"/>
          <w:szCs w:val="32"/>
        </w:rPr>
        <w:t>202</w:t>
      </w:r>
      <w:r>
        <w:rPr>
          <w:rFonts w:hint="eastAsia" w:cs="Times New Roman"/>
          <w:b/>
          <w:color w:val="auto"/>
          <w:sz w:val="32"/>
          <w:szCs w:val="32"/>
          <w:lang w:val="en-US" w:eastAsia="zh-CN"/>
        </w:rPr>
        <w:t>6</w:t>
      </w:r>
      <w:r>
        <w:rPr>
          <w:rFonts w:hint="default" w:ascii="Times New Roman" w:hAnsi="Times New Roman" w:cs="Times New Roman"/>
          <w:b/>
          <w:color w:val="auto"/>
          <w:sz w:val="32"/>
          <w:szCs w:val="32"/>
        </w:rPr>
        <w:t>年</w:t>
      </w:r>
      <w:r>
        <w:rPr>
          <w:rFonts w:hint="eastAsia" w:cs="Times New Roman"/>
          <w:b/>
          <w:color w:val="auto"/>
          <w:sz w:val="32"/>
          <w:szCs w:val="32"/>
          <w:lang w:val="en-US" w:eastAsia="zh-CN"/>
        </w:rPr>
        <w:t>7</w:t>
      </w:r>
      <w:r>
        <w:rPr>
          <w:rFonts w:hint="default" w:ascii="Times New Roman" w:hAnsi="Times New Roman" w:cs="Times New Roman"/>
          <w:b/>
          <w:color w:val="auto"/>
          <w:sz w:val="32"/>
          <w:szCs w:val="32"/>
        </w:rPr>
        <w:t>月</w:t>
      </w:r>
    </w:p>
    <w:p w14:paraId="3B255DC7">
      <w:pPr>
        <w:tabs>
          <w:tab w:val="left" w:pos="3238"/>
        </w:tabs>
        <w:ind w:firstLine="480"/>
        <w:jc w:val="left"/>
        <w:rPr>
          <w:rFonts w:hint="default" w:ascii="Times New Roman" w:hAnsi="Times New Roman" w:cs="Times New Roman"/>
          <w:color w:val="auto"/>
        </w:rPr>
      </w:pPr>
    </w:p>
    <w:p w14:paraId="44CD03B3">
      <w:pPr>
        <w:tabs>
          <w:tab w:val="left" w:pos="2213"/>
        </w:tabs>
        <w:ind w:firstLine="480"/>
        <w:jc w:val="left"/>
        <w:rPr>
          <w:rFonts w:hint="default" w:ascii="Times New Roman" w:hAnsi="Times New Roman" w:cs="Times New Roman"/>
          <w:color w:val="auto"/>
        </w:rPr>
        <w:sectPr>
          <w:headerReference r:id="rId5" w:type="first"/>
          <w:footerReference r:id="rId8" w:type="first"/>
          <w:headerReference r:id="rId3" w:type="default"/>
          <w:footerReference r:id="rId6" w:type="default"/>
          <w:headerReference r:id="rId4" w:type="even"/>
          <w:footerReference r:id="rId7" w:type="even"/>
          <w:pgSz w:w="11907" w:h="16840"/>
          <w:pgMar w:top="1440" w:right="927" w:bottom="1091" w:left="1260" w:header="850" w:footer="964" w:gutter="0"/>
          <w:pgBorders>
            <w:top w:val="none" w:sz="0" w:space="0"/>
            <w:left w:val="none" w:sz="0" w:space="0"/>
            <w:bottom w:val="none" w:sz="0" w:space="0"/>
            <w:right w:val="none" w:sz="0" w:space="0"/>
          </w:pgBorders>
          <w:pgNumType w:fmt="numberInDash" w:start="1"/>
          <w:cols w:space="720" w:num="1"/>
          <w:docGrid w:type="lines" w:linePitch="312" w:charSpace="0"/>
        </w:sectPr>
      </w:pPr>
    </w:p>
    <w:p w14:paraId="4A71D6B5">
      <w:pPr>
        <w:spacing w:before="120" w:beforeLines="50" w:after="120" w:afterLines="50"/>
        <w:ind w:firstLine="562"/>
        <w:rPr>
          <w:rFonts w:hint="default" w:ascii="Times New Roman" w:hAnsi="Times New Roman" w:cs="Times New Roman"/>
          <w:b/>
          <w:color w:val="auto"/>
          <w:sz w:val="28"/>
          <w:szCs w:val="28"/>
        </w:rPr>
      </w:pPr>
    </w:p>
    <w:p w14:paraId="657806D7">
      <w:pPr>
        <w:spacing w:before="120" w:beforeLines="50" w:after="120" w:afterLines="50" w:line="360" w:lineRule="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建设单位法人代表：             （签字）</w:t>
      </w:r>
      <w:r>
        <w:rPr>
          <w:rFonts w:hint="default" w:ascii="Times New Roman" w:hAnsi="Times New Roman" w:cs="Times New Roman"/>
          <w:b/>
          <w:color w:val="auto"/>
          <w:sz w:val="28"/>
          <w:szCs w:val="28"/>
        </w:rPr>
        <w:tab/>
      </w:r>
      <w:r>
        <w:rPr>
          <w:rFonts w:hint="default" w:ascii="Times New Roman" w:hAnsi="Times New Roman" w:cs="Times New Roman"/>
          <w:b/>
          <w:color w:val="auto"/>
          <w:sz w:val="28"/>
          <w:szCs w:val="28"/>
        </w:rPr>
        <w:t xml:space="preserve">            </w:t>
      </w:r>
    </w:p>
    <w:p w14:paraId="6C3DE51A">
      <w:pPr>
        <w:spacing w:before="120" w:beforeLines="50" w:after="120" w:afterLines="50" w:line="360" w:lineRule="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项  目  负  责  人：</w:t>
      </w:r>
    </w:p>
    <w:p w14:paraId="2A5DD27B">
      <w:pPr>
        <w:spacing w:line="360" w:lineRule="auto"/>
        <w:jc w:val="both"/>
        <w:rPr>
          <w:rFonts w:hint="default" w:ascii="Times New Roman" w:hAnsi="Times New Roman" w:cs="Times New Roman"/>
          <w:color w:val="auto"/>
          <w:sz w:val="24"/>
          <w:szCs w:val="24"/>
        </w:rPr>
      </w:pPr>
    </w:p>
    <w:p w14:paraId="286EA175">
      <w:pPr>
        <w:spacing w:line="360" w:lineRule="auto"/>
        <w:jc w:val="both"/>
        <w:rPr>
          <w:rFonts w:hint="default" w:ascii="Times New Roman" w:hAnsi="Times New Roman" w:cs="Times New Roman"/>
          <w:color w:val="auto"/>
          <w:sz w:val="24"/>
          <w:szCs w:val="24"/>
        </w:rPr>
      </w:pPr>
    </w:p>
    <w:p w14:paraId="79A746D6">
      <w:pPr>
        <w:spacing w:line="360" w:lineRule="auto"/>
        <w:jc w:val="both"/>
        <w:rPr>
          <w:rFonts w:hint="default" w:ascii="Times New Roman" w:hAnsi="Times New Roman" w:cs="Times New Roman"/>
          <w:color w:val="auto"/>
          <w:sz w:val="24"/>
          <w:szCs w:val="24"/>
        </w:rPr>
      </w:pPr>
    </w:p>
    <w:p w14:paraId="1DAFEF81">
      <w:pPr>
        <w:spacing w:line="360" w:lineRule="auto"/>
        <w:jc w:val="both"/>
        <w:rPr>
          <w:rFonts w:hint="default" w:ascii="Times New Roman" w:hAnsi="Times New Roman" w:cs="Times New Roman"/>
          <w:color w:val="auto"/>
          <w:sz w:val="24"/>
          <w:szCs w:val="24"/>
        </w:rPr>
      </w:pPr>
    </w:p>
    <w:p w14:paraId="2647F32F">
      <w:pPr>
        <w:spacing w:line="360" w:lineRule="auto"/>
        <w:jc w:val="both"/>
        <w:rPr>
          <w:rFonts w:hint="default" w:ascii="Times New Roman" w:hAnsi="Times New Roman" w:cs="Times New Roman"/>
          <w:color w:val="auto"/>
          <w:sz w:val="24"/>
          <w:szCs w:val="24"/>
        </w:rPr>
      </w:pPr>
    </w:p>
    <w:p w14:paraId="7D06A0ED">
      <w:pPr>
        <w:spacing w:line="360" w:lineRule="auto"/>
        <w:jc w:val="both"/>
        <w:rPr>
          <w:rFonts w:hint="default" w:ascii="Times New Roman" w:hAnsi="Times New Roman" w:cs="Times New Roman"/>
          <w:color w:val="auto"/>
          <w:sz w:val="24"/>
          <w:szCs w:val="24"/>
        </w:rPr>
      </w:pPr>
    </w:p>
    <w:p w14:paraId="3C892155">
      <w:pPr>
        <w:spacing w:line="360" w:lineRule="auto"/>
        <w:jc w:val="both"/>
        <w:rPr>
          <w:rFonts w:hint="default" w:ascii="Times New Roman" w:hAnsi="Times New Roman" w:cs="Times New Roman"/>
          <w:color w:val="auto"/>
          <w:sz w:val="24"/>
          <w:szCs w:val="24"/>
        </w:rPr>
      </w:pPr>
    </w:p>
    <w:p w14:paraId="6D1A9604">
      <w:pPr>
        <w:spacing w:line="360" w:lineRule="auto"/>
        <w:jc w:val="both"/>
        <w:rPr>
          <w:rFonts w:hint="default" w:ascii="Times New Roman" w:hAnsi="Times New Roman" w:cs="Times New Roman"/>
          <w:color w:val="auto"/>
          <w:sz w:val="24"/>
          <w:szCs w:val="24"/>
        </w:rPr>
      </w:pPr>
    </w:p>
    <w:p w14:paraId="6E09436E">
      <w:pPr>
        <w:spacing w:line="360" w:lineRule="auto"/>
        <w:jc w:val="both"/>
        <w:rPr>
          <w:rFonts w:hint="default" w:ascii="Times New Roman" w:hAnsi="Times New Roman" w:cs="Times New Roman"/>
          <w:color w:val="auto"/>
          <w:sz w:val="24"/>
          <w:szCs w:val="24"/>
        </w:rPr>
      </w:pPr>
    </w:p>
    <w:p w14:paraId="211E0A58">
      <w:pPr>
        <w:spacing w:line="360" w:lineRule="auto"/>
        <w:jc w:val="both"/>
        <w:rPr>
          <w:rFonts w:hint="default" w:ascii="Times New Roman" w:hAnsi="Times New Roman" w:cs="Times New Roman"/>
          <w:color w:val="auto"/>
          <w:sz w:val="24"/>
          <w:szCs w:val="24"/>
        </w:rPr>
      </w:pPr>
    </w:p>
    <w:p w14:paraId="6800A775">
      <w:pPr>
        <w:spacing w:line="360" w:lineRule="auto"/>
        <w:jc w:val="both"/>
        <w:rPr>
          <w:rFonts w:hint="default" w:ascii="Times New Roman" w:hAnsi="Times New Roman" w:cs="Times New Roman"/>
          <w:color w:val="auto"/>
          <w:sz w:val="24"/>
          <w:szCs w:val="24"/>
        </w:rPr>
      </w:pPr>
    </w:p>
    <w:p w14:paraId="1448C570">
      <w:pPr>
        <w:spacing w:line="360" w:lineRule="auto"/>
        <w:jc w:val="both"/>
        <w:rPr>
          <w:rFonts w:hint="default" w:ascii="Times New Roman" w:hAnsi="Times New Roman" w:cs="Times New Roman"/>
          <w:color w:val="auto"/>
          <w:sz w:val="24"/>
          <w:szCs w:val="24"/>
        </w:rPr>
      </w:pPr>
    </w:p>
    <w:p w14:paraId="1CB2C4DC">
      <w:pPr>
        <w:spacing w:line="360" w:lineRule="auto"/>
        <w:jc w:val="both"/>
        <w:rPr>
          <w:rFonts w:hint="default" w:ascii="Times New Roman" w:hAnsi="Times New Roman" w:cs="Times New Roman"/>
          <w:color w:val="auto"/>
          <w:sz w:val="24"/>
          <w:szCs w:val="24"/>
        </w:rPr>
      </w:pPr>
    </w:p>
    <w:p w14:paraId="4C7D2B2F">
      <w:pPr>
        <w:spacing w:line="360" w:lineRule="auto"/>
        <w:jc w:val="both"/>
        <w:rPr>
          <w:rFonts w:hint="default" w:ascii="Times New Roman" w:hAnsi="Times New Roman" w:cs="Times New Roman"/>
          <w:color w:val="auto"/>
          <w:sz w:val="24"/>
          <w:szCs w:val="24"/>
        </w:rPr>
      </w:pPr>
    </w:p>
    <w:p w14:paraId="11748C7C">
      <w:pPr>
        <w:spacing w:line="360" w:lineRule="auto"/>
        <w:jc w:val="both"/>
        <w:rPr>
          <w:rFonts w:hint="default" w:ascii="Times New Roman" w:hAnsi="Times New Roman" w:cs="Times New Roman"/>
          <w:color w:val="auto"/>
          <w:sz w:val="24"/>
          <w:szCs w:val="24"/>
        </w:rPr>
      </w:pPr>
    </w:p>
    <w:p w14:paraId="66A1BC31">
      <w:pPr>
        <w:spacing w:line="360" w:lineRule="auto"/>
        <w:jc w:val="both"/>
        <w:rPr>
          <w:rFonts w:hint="default" w:ascii="Times New Roman" w:hAnsi="Times New Roman" w:cs="Times New Roman"/>
          <w:color w:val="auto"/>
          <w:sz w:val="24"/>
          <w:szCs w:val="24"/>
        </w:rPr>
      </w:pPr>
    </w:p>
    <w:p w14:paraId="44163191">
      <w:pPr>
        <w:spacing w:line="360" w:lineRule="auto"/>
        <w:jc w:val="both"/>
        <w:rPr>
          <w:rFonts w:hint="default" w:ascii="Times New Roman" w:hAnsi="Times New Roman" w:cs="Times New Roman"/>
          <w:color w:val="auto"/>
          <w:sz w:val="24"/>
          <w:szCs w:val="24"/>
        </w:rPr>
      </w:pPr>
    </w:p>
    <w:p w14:paraId="07E8A6FD">
      <w:pPr>
        <w:spacing w:line="360" w:lineRule="auto"/>
        <w:jc w:val="both"/>
        <w:rPr>
          <w:rFonts w:hint="default" w:ascii="Times New Roman" w:hAnsi="Times New Roman" w:cs="Times New Roman"/>
          <w:color w:val="auto"/>
          <w:sz w:val="24"/>
          <w:szCs w:val="24"/>
        </w:rPr>
      </w:pPr>
    </w:p>
    <w:p w14:paraId="045E9FE2">
      <w:pPr>
        <w:spacing w:line="360" w:lineRule="auto"/>
        <w:jc w:val="both"/>
        <w:rPr>
          <w:rFonts w:hint="default" w:ascii="Times New Roman" w:hAnsi="Times New Roman" w:cs="Times New Roman"/>
          <w:color w:val="auto"/>
          <w:sz w:val="24"/>
          <w:szCs w:val="24"/>
        </w:rPr>
      </w:pPr>
    </w:p>
    <w:p w14:paraId="2AEEDB0C">
      <w:pPr>
        <w:spacing w:line="360" w:lineRule="auto"/>
        <w:jc w:val="both"/>
        <w:rPr>
          <w:rFonts w:hint="default" w:ascii="Times New Roman" w:hAnsi="Times New Roman" w:cs="Times New Roman"/>
          <w:color w:val="auto"/>
          <w:sz w:val="24"/>
          <w:szCs w:val="24"/>
        </w:rPr>
      </w:pPr>
    </w:p>
    <w:p w14:paraId="727486AC">
      <w:pPr>
        <w:spacing w:line="360" w:lineRule="auto"/>
        <w:jc w:val="both"/>
        <w:rPr>
          <w:rFonts w:hint="default" w:ascii="Times New Roman" w:hAnsi="Times New Roman" w:cs="Times New Roman"/>
          <w:color w:val="auto"/>
          <w:sz w:val="24"/>
          <w:szCs w:val="24"/>
          <w:u w:val="none"/>
        </w:rPr>
      </w:pPr>
    </w:p>
    <w:p w14:paraId="3447EBA0">
      <w:pPr>
        <w:spacing w:line="360" w:lineRule="auto"/>
        <w:jc w:val="both"/>
        <w:rPr>
          <w:rFonts w:hint="default" w:cs="Times New Roman"/>
          <w:color w:val="auto"/>
          <w:sz w:val="24"/>
          <w:szCs w:val="24"/>
          <w:lang w:val="en-US" w:eastAsia="zh-CN"/>
        </w:rPr>
      </w:pPr>
      <w:r>
        <w:rPr>
          <w:rFonts w:hint="default" w:ascii="Times New Roman" w:hAnsi="Times New Roman" w:cs="Times New Roman"/>
          <w:color w:val="auto"/>
          <w:sz w:val="24"/>
          <w:szCs w:val="24"/>
          <w:u w:val="none"/>
        </w:rPr>
        <w:t>建设单位：</w:t>
      </w:r>
      <w:r>
        <w:rPr>
          <w:rFonts w:hint="eastAsia" w:ascii="Times New Roman" w:hAnsi="Times New Roman" w:cs="Times New Roman"/>
          <w:color w:val="auto"/>
          <w:sz w:val="24"/>
          <w:szCs w:val="24"/>
          <w:u w:val="none"/>
        </w:rPr>
        <w:t>广元伟利森环保工程有限公司</w:t>
      </w:r>
      <w:r>
        <w:rPr>
          <w:rFonts w:hint="eastAsia" w:ascii="Times New Roman" w:hAnsi="Times New Roman" w:cs="Times New Roman"/>
          <w:color w:val="auto"/>
          <w:sz w:val="24"/>
          <w:szCs w:val="24"/>
          <w:u w:val="none"/>
          <w:lang w:val="en-US" w:eastAsia="zh-CN"/>
        </w:rPr>
        <w:t xml:space="preserve">   </w:t>
      </w:r>
      <w:r>
        <w:rPr>
          <w:rFonts w:hint="eastAsia" w:cs="Times New Roman"/>
          <w:color w:val="auto"/>
          <w:sz w:val="24"/>
          <w:szCs w:val="24"/>
          <w:lang w:val="en-US" w:eastAsia="zh-CN"/>
        </w:rPr>
        <w:t xml:space="preserve">      </w:t>
      </w:r>
    </w:p>
    <w:p w14:paraId="160AE7F1">
      <w:pPr>
        <w:spacing w:line="360" w:lineRule="auto"/>
        <w:ind w:left="-248" w:leftChars="-118" w:firstLine="1680" w:firstLineChars="700"/>
        <w:jc w:val="both"/>
        <w:rPr>
          <w:rFonts w:hint="default" w:ascii="Times New Roman" w:hAnsi="Times New Roman" w:cs="Times New Roman"/>
          <w:color w:val="auto"/>
          <w:sz w:val="22"/>
          <w:szCs w:val="22"/>
          <w:u w:val="none"/>
          <w:lang w:val="en-US" w:eastAsia="zh-CN"/>
        </w:rPr>
      </w:pPr>
      <w:r>
        <w:rPr>
          <w:rFonts w:hint="default" w:ascii="Times New Roman" w:hAnsi="Times New Roman" w:cs="Times New Roman"/>
          <w:color w:val="auto"/>
          <w:sz w:val="24"/>
          <w:szCs w:val="24"/>
        </w:rPr>
        <w:t>（盖章）</w:t>
      </w:r>
    </w:p>
    <w:p w14:paraId="6C5FCDC0">
      <w:pPr>
        <w:spacing w:line="360" w:lineRule="auto"/>
        <w:ind w:left="-248" w:leftChars="-118"/>
        <w:rPr>
          <w:rFonts w:hint="default"/>
          <w:lang w:val="en-US" w:eastAsia="zh-CN"/>
        </w:rPr>
      </w:pPr>
      <w:r>
        <w:rPr>
          <w:rFonts w:hint="default" w:ascii="Times New Roman" w:hAnsi="Times New Roman" w:cs="Times New Roman"/>
          <w:color w:val="auto"/>
          <w:sz w:val="24"/>
          <w:szCs w:val="24"/>
        </w:rPr>
        <w:t>电话</w:t>
      </w:r>
      <w:r>
        <w:rPr>
          <w:rFonts w:hint="eastAsia" w:ascii="Times New Roman" w:hAnsi="Times New Roman" w:cs="Times New Roman"/>
          <w:color w:val="auto"/>
          <w:sz w:val="24"/>
          <w:szCs w:val="24"/>
          <w:lang w:val="en-US" w:eastAsia="zh-CN"/>
        </w:rPr>
        <w:t>：</w:t>
      </w:r>
      <w:r>
        <w:rPr>
          <w:rFonts w:hint="eastAsia" w:ascii="宋体" w:hAnsi="宋体"/>
          <w:color w:val="auto"/>
          <w:sz w:val="24"/>
          <w:lang w:val="en-US" w:eastAsia="zh-CN"/>
        </w:rPr>
        <w:t>18761924113</w:t>
      </w:r>
    </w:p>
    <w:p w14:paraId="73F36079">
      <w:pPr>
        <w:spacing w:line="360" w:lineRule="auto"/>
        <w:ind w:left="-248" w:leftChars="-11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传真</w:t>
      </w:r>
      <w:r>
        <w:rPr>
          <w:rFonts w:hint="default" w:ascii="Times New Roman" w:hAnsi="Times New Roman" w:cs="Times New Roman"/>
          <w:color w:val="auto"/>
          <w:sz w:val="24"/>
          <w:szCs w:val="24"/>
          <w:lang w:eastAsia="zh-CN"/>
        </w:rPr>
        <w:t>：</w:t>
      </w:r>
    </w:p>
    <w:p w14:paraId="04899180">
      <w:pPr>
        <w:spacing w:line="360" w:lineRule="auto"/>
        <w:ind w:left="-248" w:leftChars="-118"/>
        <w:rPr>
          <w:rFonts w:hint="default"/>
          <w:lang w:val="en-US" w:eastAsia="zh-CN"/>
        </w:rPr>
      </w:pPr>
      <w:r>
        <w:rPr>
          <w:rFonts w:hint="default" w:ascii="Times New Roman" w:hAnsi="Times New Roman" w:cs="Times New Roman"/>
          <w:color w:val="auto"/>
          <w:sz w:val="24"/>
          <w:szCs w:val="24"/>
        </w:rPr>
        <w:t>邮编</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628</w:t>
      </w:r>
      <w:r>
        <w:rPr>
          <w:rFonts w:hint="eastAsia" w:cs="Times New Roman"/>
          <w:color w:val="auto"/>
          <w:sz w:val="24"/>
          <w:szCs w:val="24"/>
          <w:lang w:val="en-US" w:eastAsia="zh-CN"/>
        </w:rPr>
        <w:t>1</w:t>
      </w:r>
      <w:r>
        <w:rPr>
          <w:rFonts w:hint="eastAsia" w:ascii="Times New Roman" w:hAnsi="Times New Roman" w:cs="Times New Roman"/>
          <w:color w:val="auto"/>
          <w:sz w:val="24"/>
          <w:szCs w:val="24"/>
          <w:lang w:val="en-US" w:eastAsia="zh-CN"/>
        </w:rPr>
        <w:t>00</w:t>
      </w:r>
    </w:p>
    <w:p w14:paraId="70DCBAEF">
      <w:pPr>
        <w:spacing w:line="360" w:lineRule="auto"/>
        <w:ind w:left="-8" w:leftChars="-118" w:hanging="240" w:hangingChars="100"/>
        <w:rPr>
          <w:rFonts w:hint="eastAsia" w:eastAsia="宋体"/>
          <w:lang w:val="en-US" w:eastAsia="zh-CN"/>
        </w:rPr>
      </w:pPr>
      <w:r>
        <w:rPr>
          <w:rFonts w:hint="default" w:ascii="Times New Roman" w:hAnsi="Times New Roman" w:cs="Times New Roman"/>
          <w:color w:val="auto"/>
          <w:sz w:val="24"/>
          <w:szCs w:val="24"/>
        </w:rPr>
        <w:t>地址</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广元市</w:t>
      </w:r>
      <w:r>
        <w:rPr>
          <w:rFonts w:hint="eastAsia" w:cs="Times New Roman"/>
          <w:color w:val="auto"/>
          <w:sz w:val="24"/>
          <w:szCs w:val="24"/>
          <w:lang w:val="en-US" w:eastAsia="zh-CN"/>
        </w:rPr>
        <w:t>青川县乔庄镇</w:t>
      </w:r>
    </w:p>
    <w:p w14:paraId="3547B861">
      <w:pPr>
        <w:rPr>
          <w:rFonts w:hint="default"/>
        </w:rPr>
        <w:sectPr>
          <w:headerReference r:id="rId9" w:type="default"/>
          <w:footerReference r:id="rId10" w:type="default"/>
          <w:pgSz w:w="11906" w:h="16838"/>
          <w:pgMar w:top="1440" w:right="1080" w:bottom="1440" w:left="1080" w:header="850" w:footer="964" w:gutter="0"/>
          <w:pgBorders>
            <w:top w:val="none" w:sz="0" w:space="0"/>
            <w:left w:val="none" w:sz="0" w:space="0"/>
            <w:bottom w:val="none" w:sz="0" w:space="0"/>
            <w:right w:val="none" w:sz="0" w:space="0"/>
          </w:pgBorders>
          <w:pgNumType w:fmt="numberInDash" w:start="1"/>
          <w:cols w:space="720" w:num="1"/>
          <w:docGrid w:linePitch="360" w:charSpace="0"/>
        </w:sectPr>
      </w:pPr>
    </w:p>
    <w:p w14:paraId="0B5837D2">
      <w:pPr>
        <w:rPr>
          <w:rFonts w:hint="default" w:ascii="Times New Roman" w:hAnsi="Times New Roman" w:cs="Times New Roman"/>
          <w:color w:val="auto"/>
          <w:sz w:val="30"/>
          <w:szCs w:val="30"/>
        </w:rPr>
      </w:pPr>
      <w:bookmarkStart w:id="2" w:name="_Toc9728_WPSOffice_Level1"/>
      <w:bookmarkStart w:id="3" w:name="_Toc30517"/>
      <w:bookmarkStart w:id="4" w:name="_Toc25459_WPSOffice_Level1"/>
      <w:r>
        <w:rPr>
          <w:rStyle w:val="43"/>
          <w:rFonts w:hint="default" w:ascii="Times New Roman" w:hAnsi="Times New Roman" w:cs="Times New Roman"/>
          <w:b/>
          <w:bCs w:val="0"/>
          <w:color w:val="auto"/>
        </w:rPr>
        <w:t>表一  项目基本信息</w:t>
      </w:r>
      <w:bookmarkEnd w:id="0"/>
      <w:bookmarkEnd w:id="1"/>
      <w:bookmarkEnd w:id="2"/>
      <w:bookmarkEnd w:id="3"/>
      <w:bookmarkEnd w:id="4"/>
    </w:p>
    <w:tbl>
      <w:tblPr>
        <w:tblStyle w:val="33"/>
        <w:tblW w:w="10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2400"/>
        <w:gridCol w:w="10"/>
        <w:gridCol w:w="2177"/>
        <w:gridCol w:w="10"/>
        <w:gridCol w:w="1215"/>
        <w:gridCol w:w="930"/>
        <w:gridCol w:w="1049"/>
      </w:tblGrid>
      <w:tr w14:paraId="1F583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4D43D7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791" w:type="dxa"/>
            <w:gridSpan w:val="7"/>
            <w:noWrap w:val="0"/>
            <w:vAlign w:val="center"/>
          </w:tcPr>
          <w:p w14:paraId="253584A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青川县餐厨垃圾无害化处理、资源化利用项目</w:t>
            </w:r>
          </w:p>
        </w:tc>
      </w:tr>
      <w:tr w14:paraId="79F703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394" w:type="dxa"/>
            <w:noWrap w:val="0"/>
            <w:vAlign w:val="center"/>
          </w:tcPr>
          <w:p w14:paraId="4A106E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建设单位名称</w:t>
            </w:r>
          </w:p>
        </w:tc>
        <w:tc>
          <w:tcPr>
            <w:tcW w:w="7791" w:type="dxa"/>
            <w:gridSpan w:val="7"/>
            <w:noWrap w:val="0"/>
            <w:vAlign w:val="center"/>
          </w:tcPr>
          <w:p w14:paraId="5FC027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u w:val="none"/>
              </w:rPr>
              <w:t>广元伟利森环保工程有限公司</w:t>
            </w:r>
            <w:r>
              <w:rPr>
                <w:rFonts w:hint="eastAsia" w:ascii="Times New Roman" w:hAnsi="Times New Roman" w:cs="Times New Roman"/>
                <w:color w:val="auto"/>
                <w:sz w:val="24"/>
                <w:szCs w:val="24"/>
                <w:u w:val="none"/>
                <w:lang w:val="en-US" w:eastAsia="zh-CN"/>
              </w:rPr>
              <w:t xml:space="preserve"> </w:t>
            </w:r>
          </w:p>
        </w:tc>
      </w:tr>
      <w:tr w14:paraId="4003CB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7114DF0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建设项目性质</w:t>
            </w:r>
          </w:p>
        </w:tc>
        <w:tc>
          <w:tcPr>
            <w:tcW w:w="7791" w:type="dxa"/>
            <w:gridSpan w:val="7"/>
            <w:noWrap w:val="0"/>
            <w:vAlign w:val="center"/>
          </w:tcPr>
          <w:p w14:paraId="77E0DB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sz w:val="24"/>
                <w:szCs w:val="24"/>
              </w:rPr>
              <w:sym w:font="Wingdings" w:char="00FE"/>
            </w:r>
            <w:r>
              <w:rPr>
                <w:rFonts w:hint="default" w:ascii="Times New Roman" w:hAnsi="Times New Roman" w:cs="Times New Roman"/>
                <w:color w:val="auto"/>
                <w:sz w:val="24"/>
                <w:szCs w:val="24"/>
              </w:rPr>
              <w:t xml:space="preserve">新建  </w:t>
            </w:r>
            <w:r>
              <w:rPr>
                <w:rFonts w:hint="default" w:ascii="Times New Roman" w:hAnsi="Times New Roman" w:cs="Times New Roman"/>
                <w:sz w:val="24"/>
                <w:szCs w:val="24"/>
              </w:rPr>
              <w:sym w:font="Wingdings" w:char="00A8"/>
            </w:r>
            <w:r>
              <w:rPr>
                <w:rFonts w:hint="default" w:ascii="Times New Roman" w:hAnsi="Times New Roman" w:cs="Times New Roman"/>
                <w:color w:val="auto"/>
                <w:sz w:val="24"/>
                <w:szCs w:val="24"/>
              </w:rPr>
              <w:t xml:space="preserve">改扩建  </w:t>
            </w:r>
            <w:r>
              <w:rPr>
                <w:rFonts w:hint="default" w:ascii="Times New Roman" w:hAnsi="Times New Roman" w:cs="Times New Roman"/>
                <w:sz w:val="24"/>
                <w:szCs w:val="24"/>
              </w:rPr>
              <w:sym w:font="Wingdings" w:char="00A8"/>
            </w:r>
            <w:r>
              <w:rPr>
                <w:rFonts w:hint="default" w:ascii="Times New Roman" w:hAnsi="Times New Roman" w:cs="Times New Roman"/>
                <w:color w:val="auto"/>
                <w:sz w:val="24"/>
                <w:szCs w:val="24"/>
              </w:rPr>
              <w:t xml:space="preserve">技改  </w:t>
            </w:r>
            <w:r>
              <w:rPr>
                <w:rFonts w:hint="default" w:ascii="Times New Roman" w:hAnsi="Times New Roman" w:cs="Times New Roman"/>
                <w:sz w:val="24"/>
                <w:szCs w:val="24"/>
              </w:rPr>
              <w:sym w:font="Wingdings" w:char="00A8"/>
            </w:r>
            <w:r>
              <w:rPr>
                <w:rFonts w:hint="default" w:ascii="Times New Roman" w:hAnsi="Times New Roman" w:cs="Times New Roman"/>
                <w:color w:val="auto"/>
                <w:sz w:val="24"/>
                <w:szCs w:val="24"/>
              </w:rPr>
              <w:t>迁建（划√）</w:t>
            </w:r>
          </w:p>
        </w:tc>
      </w:tr>
      <w:tr w14:paraId="06C9C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46226FC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791" w:type="dxa"/>
            <w:gridSpan w:val="7"/>
            <w:noWrap w:val="0"/>
            <w:vAlign w:val="center"/>
          </w:tcPr>
          <w:p w14:paraId="4E9CF5A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z w:val="24"/>
                <w:szCs w:val="24"/>
                <w:lang w:eastAsia="zh-CN"/>
              </w:rPr>
            </w:pPr>
            <w:r>
              <w:rPr>
                <w:rFonts w:hint="eastAsia" w:hAnsi="宋体"/>
                <w:color w:val="000000"/>
                <w:sz w:val="24"/>
                <w:lang w:eastAsia="zh-CN"/>
              </w:rPr>
              <w:t>广元市青川县乔庄镇黄坪社区秧田湾</w:t>
            </w:r>
          </w:p>
        </w:tc>
      </w:tr>
      <w:tr w14:paraId="76C3CD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4CBD32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主要产品名称</w:t>
            </w:r>
          </w:p>
        </w:tc>
        <w:tc>
          <w:tcPr>
            <w:tcW w:w="7791" w:type="dxa"/>
            <w:gridSpan w:val="7"/>
            <w:noWrap w:val="0"/>
            <w:vAlign w:val="center"/>
          </w:tcPr>
          <w:p w14:paraId="7B267F2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4"/>
                <w:szCs w:val="24"/>
                <w:lang w:eastAsia="zh-CN"/>
              </w:rPr>
            </w:pPr>
            <w:r>
              <w:rPr>
                <w:rFonts w:hAnsi="宋体"/>
                <w:color w:val="000000"/>
                <w:kern w:val="0"/>
                <w:sz w:val="24"/>
              </w:rPr>
              <w:t>工业粗油脂</w:t>
            </w:r>
          </w:p>
        </w:tc>
      </w:tr>
      <w:tr w14:paraId="134FB1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6417D6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设计生产能力</w:t>
            </w:r>
          </w:p>
        </w:tc>
        <w:tc>
          <w:tcPr>
            <w:tcW w:w="7791" w:type="dxa"/>
            <w:gridSpan w:val="7"/>
            <w:noWrap w:val="0"/>
            <w:vAlign w:val="center"/>
          </w:tcPr>
          <w:p w14:paraId="16CB53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日处理餐厨垃圾20吨</w:t>
            </w:r>
          </w:p>
        </w:tc>
      </w:tr>
      <w:tr w14:paraId="24668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0C6806A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实际生产能力</w:t>
            </w:r>
          </w:p>
        </w:tc>
        <w:tc>
          <w:tcPr>
            <w:tcW w:w="7791" w:type="dxa"/>
            <w:gridSpan w:val="7"/>
            <w:noWrap w:val="0"/>
            <w:vAlign w:val="center"/>
          </w:tcPr>
          <w:p w14:paraId="0855B73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日处理餐厨垃圾20吨</w:t>
            </w:r>
          </w:p>
        </w:tc>
      </w:tr>
      <w:tr w14:paraId="235BB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330D55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行业类别</w:t>
            </w:r>
          </w:p>
        </w:tc>
        <w:tc>
          <w:tcPr>
            <w:tcW w:w="2410" w:type="dxa"/>
            <w:gridSpan w:val="2"/>
            <w:noWrap w:val="0"/>
            <w:vAlign w:val="center"/>
          </w:tcPr>
          <w:p w14:paraId="7E9067EE">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b w:val="0"/>
                <w:bCs w:val="0"/>
                <w:color w:val="auto"/>
                <w:sz w:val="24"/>
                <w:szCs w:val="24"/>
                <w:lang w:val="en-US" w:eastAsia="zh-CN"/>
              </w:rPr>
            </w:pPr>
            <w:r>
              <w:rPr>
                <w:rFonts w:hint="eastAsia"/>
                <w:sz w:val="24"/>
              </w:rPr>
              <w:t>环境卫生管理</w:t>
            </w:r>
          </w:p>
        </w:tc>
        <w:tc>
          <w:tcPr>
            <w:tcW w:w="2187" w:type="dxa"/>
            <w:gridSpan w:val="2"/>
            <w:noWrap w:val="0"/>
            <w:vAlign w:val="center"/>
          </w:tcPr>
          <w:p w14:paraId="5DC5297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b w:val="0"/>
                <w:bCs w:val="0"/>
                <w:color w:val="auto"/>
                <w:sz w:val="24"/>
                <w:szCs w:val="24"/>
                <w:lang w:val="en-US" w:eastAsia="zh-CN"/>
              </w:rPr>
            </w:pPr>
            <w:r>
              <w:rPr>
                <w:rFonts w:hint="eastAsia" w:ascii="Times New Roman" w:hAnsi="Times New Roman" w:cs="Times New Roman"/>
                <w:color w:val="auto"/>
                <w:sz w:val="24"/>
                <w:szCs w:val="24"/>
                <w:lang w:val="en-US" w:eastAsia="zh-CN"/>
              </w:rPr>
              <w:t>代码</w:t>
            </w:r>
          </w:p>
        </w:tc>
        <w:tc>
          <w:tcPr>
            <w:tcW w:w="3194" w:type="dxa"/>
            <w:gridSpan w:val="3"/>
            <w:noWrap w:val="0"/>
            <w:vAlign w:val="center"/>
          </w:tcPr>
          <w:p w14:paraId="16416BB1">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 w:val="0"/>
                <w:bCs w:val="0"/>
                <w:color w:val="auto"/>
                <w:sz w:val="24"/>
                <w:szCs w:val="24"/>
                <w:lang w:val="en-US" w:eastAsia="zh-CN"/>
              </w:rPr>
            </w:pPr>
            <w:r>
              <w:rPr>
                <w:rFonts w:hint="eastAsia"/>
                <w:sz w:val="24"/>
              </w:rPr>
              <w:t>N7820</w:t>
            </w:r>
          </w:p>
        </w:tc>
      </w:tr>
      <w:tr w14:paraId="5000A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450E07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建设项目环评时间</w:t>
            </w:r>
          </w:p>
        </w:tc>
        <w:tc>
          <w:tcPr>
            <w:tcW w:w="2400" w:type="dxa"/>
            <w:noWrap w:val="0"/>
            <w:vAlign w:val="center"/>
          </w:tcPr>
          <w:p w14:paraId="73209B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w:t>
            </w:r>
            <w:r>
              <w:rPr>
                <w:rFonts w:hint="eastAsia" w:cs="Times New Roman"/>
                <w:color w:val="auto"/>
                <w:sz w:val="24"/>
                <w:szCs w:val="24"/>
                <w:lang w:val="en-US" w:eastAsia="zh-CN"/>
              </w:rPr>
              <w:t>24</w:t>
            </w:r>
            <w:r>
              <w:rPr>
                <w:rFonts w:hint="default" w:ascii="Times New Roman" w:hAnsi="Times New Roman" w:cs="Times New Roman"/>
                <w:color w:val="auto"/>
                <w:sz w:val="24"/>
                <w:szCs w:val="24"/>
              </w:rPr>
              <w:t>年</w:t>
            </w:r>
            <w:r>
              <w:rPr>
                <w:rFonts w:hint="eastAsia" w:cs="Times New Roman"/>
                <w:color w:val="auto"/>
                <w:sz w:val="24"/>
                <w:szCs w:val="24"/>
                <w:lang w:val="en-US" w:eastAsia="zh-CN"/>
              </w:rPr>
              <w:t>1</w:t>
            </w:r>
            <w:r>
              <w:rPr>
                <w:rFonts w:hint="default" w:ascii="Times New Roman" w:hAnsi="Times New Roman" w:cs="Times New Roman"/>
                <w:color w:val="auto"/>
                <w:sz w:val="24"/>
                <w:szCs w:val="24"/>
              </w:rPr>
              <w:t>月</w:t>
            </w:r>
          </w:p>
        </w:tc>
        <w:tc>
          <w:tcPr>
            <w:tcW w:w="2187" w:type="dxa"/>
            <w:gridSpan w:val="2"/>
            <w:noWrap w:val="0"/>
            <w:vAlign w:val="center"/>
          </w:tcPr>
          <w:p w14:paraId="2379D5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开工建设时间</w:t>
            </w:r>
          </w:p>
        </w:tc>
        <w:tc>
          <w:tcPr>
            <w:tcW w:w="3204" w:type="dxa"/>
            <w:gridSpan w:val="4"/>
            <w:noWrap w:val="0"/>
            <w:vAlign w:val="center"/>
          </w:tcPr>
          <w:p w14:paraId="385440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highlight w:val="none"/>
                <w:lang w:val="en-US" w:eastAsia="zh-CN"/>
              </w:rPr>
              <w:t>20</w:t>
            </w:r>
            <w:r>
              <w:rPr>
                <w:rFonts w:hint="eastAsia" w:cs="Times New Roman"/>
                <w:color w:val="auto"/>
                <w:sz w:val="24"/>
                <w:szCs w:val="24"/>
                <w:highlight w:val="none"/>
                <w:lang w:val="en-US" w:eastAsia="zh-CN"/>
              </w:rPr>
              <w:t>24</w:t>
            </w:r>
            <w:r>
              <w:rPr>
                <w:rFonts w:hint="default"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月</w:t>
            </w:r>
          </w:p>
        </w:tc>
      </w:tr>
      <w:tr w14:paraId="311FD5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5CD1295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调试时间</w:t>
            </w:r>
          </w:p>
        </w:tc>
        <w:tc>
          <w:tcPr>
            <w:tcW w:w="2400" w:type="dxa"/>
            <w:noWrap w:val="0"/>
            <w:vAlign w:val="center"/>
          </w:tcPr>
          <w:p w14:paraId="59283A6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highlight w:val="none"/>
                <w:lang w:val="en-US" w:eastAsia="zh-CN"/>
              </w:rPr>
              <w:t>202</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月</w:t>
            </w:r>
          </w:p>
        </w:tc>
        <w:tc>
          <w:tcPr>
            <w:tcW w:w="2187" w:type="dxa"/>
            <w:gridSpan w:val="2"/>
            <w:noWrap w:val="0"/>
            <w:vAlign w:val="center"/>
          </w:tcPr>
          <w:p w14:paraId="0E46D2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验收现场</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时间</w:t>
            </w:r>
          </w:p>
        </w:tc>
        <w:tc>
          <w:tcPr>
            <w:tcW w:w="3204" w:type="dxa"/>
            <w:gridSpan w:val="4"/>
            <w:noWrap w:val="0"/>
            <w:vAlign w:val="center"/>
          </w:tcPr>
          <w:p w14:paraId="082F2FA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202</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日-</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日</w:t>
            </w:r>
          </w:p>
        </w:tc>
      </w:tr>
      <w:tr w14:paraId="64350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394" w:type="dxa"/>
            <w:noWrap w:val="0"/>
            <w:vAlign w:val="center"/>
          </w:tcPr>
          <w:p w14:paraId="3B9094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环评报告表</w:t>
            </w:r>
          </w:p>
          <w:p w14:paraId="203579C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审批部门</w:t>
            </w:r>
          </w:p>
        </w:tc>
        <w:tc>
          <w:tcPr>
            <w:tcW w:w="2400" w:type="dxa"/>
            <w:noWrap w:val="0"/>
            <w:vAlign w:val="center"/>
          </w:tcPr>
          <w:p w14:paraId="44536CD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广元市青川生态</w:t>
            </w:r>
            <w:r>
              <w:rPr>
                <w:rFonts w:hint="eastAsia" w:ascii="Times New Roman" w:hAnsi="Times New Roman" w:cs="Times New Roman"/>
                <w:color w:val="auto"/>
                <w:sz w:val="24"/>
                <w:szCs w:val="24"/>
                <w:lang w:eastAsia="zh-CN"/>
              </w:rPr>
              <w:t>环境局</w:t>
            </w:r>
          </w:p>
        </w:tc>
        <w:tc>
          <w:tcPr>
            <w:tcW w:w="2187" w:type="dxa"/>
            <w:gridSpan w:val="2"/>
            <w:noWrap w:val="0"/>
            <w:vAlign w:val="center"/>
          </w:tcPr>
          <w:p w14:paraId="1D4C43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环评报告表</w:t>
            </w:r>
          </w:p>
          <w:p w14:paraId="0331E7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编制单位</w:t>
            </w:r>
          </w:p>
        </w:tc>
        <w:tc>
          <w:tcPr>
            <w:tcW w:w="3204" w:type="dxa"/>
            <w:gridSpan w:val="4"/>
            <w:noWrap w:val="0"/>
            <w:vAlign w:val="center"/>
          </w:tcPr>
          <w:p w14:paraId="71D872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color w:val="auto"/>
                <w:sz w:val="24"/>
                <w:szCs w:val="24"/>
                <w:lang w:eastAsia="zh-CN"/>
              </w:rPr>
              <w:t>四川友信恒创环保科技有限公司</w:t>
            </w:r>
          </w:p>
        </w:tc>
      </w:tr>
      <w:tr w14:paraId="0564C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6C8322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环保设施设计单位</w:t>
            </w:r>
          </w:p>
        </w:tc>
        <w:tc>
          <w:tcPr>
            <w:tcW w:w="2400" w:type="dxa"/>
            <w:noWrap w:val="0"/>
            <w:vAlign w:val="center"/>
          </w:tcPr>
          <w:p w14:paraId="6DDFE5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u w:val="none"/>
              </w:rPr>
              <w:t>广元伟利森环保工程有限公司</w:t>
            </w:r>
          </w:p>
        </w:tc>
        <w:tc>
          <w:tcPr>
            <w:tcW w:w="2187" w:type="dxa"/>
            <w:gridSpan w:val="2"/>
            <w:noWrap w:val="0"/>
            <w:vAlign w:val="center"/>
          </w:tcPr>
          <w:p w14:paraId="2EA010B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环保设施施工单位</w:t>
            </w:r>
          </w:p>
        </w:tc>
        <w:tc>
          <w:tcPr>
            <w:tcW w:w="3204" w:type="dxa"/>
            <w:gridSpan w:val="4"/>
            <w:noWrap w:val="0"/>
            <w:vAlign w:val="center"/>
          </w:tcPr>
          <w:p w14:paraId="0CFEA4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u w:val="none"/>
              </w:rPr>
              <w:t>广元伟利森环保工程有限公司</w:t>
            </w:r>
          </w:p>
        </w:tc>
      </w:tr>
      <w:tr w14:paraId="3CB95B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11A4EF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投资总概算</w:t>
            </w:r>
          </w:p>
        </w:tc>
        <w:tc>
          <w:tcPr>
            <w:tcW w:w="2400" w:type="dxa"/>
            <w:noWrap w:val="0"/>
            <w:vAlign w:val="center"/>
          </w:tcPr>
          <w:p w14:paraId="5417BE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1281</w:t>
            </w:r>
            <w:r>
              <w:rPr>
                <w:rFonts w:hint="eastAsia" w:ascii="Times New Roman" w:hAnsi="Times New Roman" w:cs="Times New Roman"/>
                <w:color w:val="auto"/>
                <w:sz w:val="24"/>
                <w:szCs w:val="24"/>
                <w:lang w:val="en-US" w:eastAsia="zh-CN"/>
              </w:rPr>
              <w:t>万</w:t>
            </w:r>
          </w:p>
        </w:tc>
        <w:tc>
          <w:tcPr>
            <w:tcW w:w="2187" w:type="dxa"/>
            <w:gridSpan w:val="2"/>
            <w:noWrap w:val="0"/>
            <w:vAlign w:val="center"/>
          </w:tcPr>
          <w:p w14:paraId="2BB101F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环保投资总概算</w:t>
            </w:r>
          </w:p>
        </w:tc>
        <w:tc>
          <w:tcPr>
            <w:tcW w:w="1225" w:type="dxa"/>
            <w:gridSpan w:val="2"/>
            <w:noWrap w:val="0"/>
            <w:vAlign w:val="center"/>
          </w:tcPr>
          <w:p w14:paraId="10597E1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Times New Roman" w:hAnsi="Times New Roman" w:cs="Times New Roman"/>
                <w:color w:val="auto"/>
                <w:sz w:val="24"/>
                <w:szCs w:val="24"/>
              </w:rPr>
            </w:pPr>
            <w:r>
              <w:rPr>
                <w:rFonts w:hint="eastAsia" w:cs="Times New Roman"/>
                <w:color w:val="auto"/>
                <w:sz w:val="24"/>
                <w:szCs w:val="24"/>
                <w:highlight w:val="none"/>
                <w:lang w:val="en-US" w:eastAsia="zh-CN"/>
              </w:rPr>
              <w:t>89</w:t>
            </w:r>
            <w:r>
              <w:rPr>
                <w:rFonts w:hint="eastAsia" w:ascii="Times New Roman" w:hAnsi="Times New Roman" w:cs="Times New Roman"/>
                <w:color w:val="auto"/>
                <w:sz w:val="24"/>
                <w:szCs w:val="24"/>
                <w:highlight w:val="none"/>
                <w:lang w:val="en-US" w:eastAsia="zh-CN"/>
              </w:rPr>
              <w:t>万</w:t>
            </w:r>
          </w:p>
        </w:tc>
        <w:tc>
          <w:tcPr>
            <w:tcW w:w="930" w:type="dxa"/>
            <w:noWrap w:val="0"/>
            <w:vAlign w:val="center"/>
          </w:tcPr>
          <w:p w14:paraId="495876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比例</w:t>
            </w:r>
          </w:p>
        </w:tc>
        <w:tc>
          <w:tcPr>
            <w:tcW w:w="1049" w:type="dxa"/>
            <w:noWrap w:val="0"/>
            <w:vAlign w:val="center"/>
          </w:tcPr>
          <w:p w14:paraId="34FAA86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6.85</w:t>
            </w:r>
            <w:r>
              <w:rPr>
                <w:rFonts w:hint="eastAsia" w:ascii="Times New Roman" w:hAnsi="Times New Roman" w:cs="Times New Roman"/>
                <w:color w:val="auto"/>
                <w:sz w:val="24"/>
                <w:szCs w:val="24"/>
                <w:lang w:val="en-US" w:eastAsia="zh-CN"/>
              </w:rPr>
              <w:t xml:space="preserve"> %</w:t>
            </w:r>
          </w:p>
        </w:tc>
      </w:tr>
      <w:tr w14:paraId="2A809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064B4E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实际总概算</w:t>
            </w:r>
          </w:p>
        </w:tc>
        <w:tc>
          <w:tcPr>
            <w:tcW w:w="2400" w:type="dxa"/>
            <w:noWrap w:val="0"/>
            <w:vAlign w:val="center"/>
          </w:tcPr>
          <w:p w14:paraId="0792EB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lang w:val="en-US" w:eastAsia="zh-CN"/>
              </w:rPr>
              <w:t>1280</w:t>
            </w:r>
            <w:r>
              <w:rPr>
                <w:rFonts w:hint="eastAsia" w:ascii="Times New Roman" w:hAnsi="Times New Roman" w:cs="Times New Roman"/>
                <w:color w:val="auto"/>
                <w:sz w:val="24"/>
                <w:szCs w:val="24"/>
                <w:lang w:val="en-US" w:eastAsia="zh-CN"/>
              </w:rPr>
              <w:t>万</w:t>
            </w:r>
          </w:p>
        </w:tc>
        <w:tc>
          <w:tcPr>
            <w:tcW w:w="2187" w:type="dxa"/>
            <w:gridSpan w:val="2"/>
            <w:noWrap w:val="0"/>
            <w:vAlign w:val="center"/>
          </w:tcPr>
          <w:p w14:paraId="260B18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w:t>
            </w:r>
          </w:p>
        </w:tc>
        <w:tc>
          <w:tcPr>
            <w:tcW w:w="1225" w:type="dxa"/>
            <w:gridSpan w:val="2"/>
            <w:noWrap w:val="0"/>
            <w:vAlign w:val="center"/>
          </w:tcPr>
          <w:p w14:paraId="1F59107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87</w:t>
            </w:r>
            <w:r>
              <w:rPr>
                <w:rFonts w:hint="eastAsia" w:ascii="Times New Roman" w:hAnsi="Times New Roman" w:cs="Times New Roman"/>
                <w:color w:val="auto"/>
                <w:sz w:val="24"/>
                <w:szCs w:val="24"/>
                <w:highlight w:val="none"/>
                <w:lang w:val="en-US" w:eastAsia="zh-CN"/>
              </w:rPr>
              <w:t>万</w:t>
            </w:r>
          </w:p>
        </w:tc>
        <w:tc>
          <w:tcPr>
            <w:tcW w:w="930" w:type="dxa"/>
            <w:noWrap w:val="0"/>
            <w:vAlign w:val="center"/>
          </w:tcPr>
          <w:p w14:paraId="27A44A3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rPr>
              <w:t>比例</w:t>
            </w:r>
          </w:p>
        </w:tc>
        <w:tc>
          <w:tcPr>
            <w:tcW w:w="1049" w:type="dxa"/>
            <w:noWrap w:val="0"/>
            <w:vAlign w:val="center"/>
          </w:tcPr>
          <w:p w14:paraId="4ACB0D0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lang w:val="en-US" w:eastAsia="zh-CN"/>
              </w:rPr>
              <w:t>6.80</w:t>
            </w:r>
            <w:r>
              <w:rPr>
                <w:rFonts w:hint="eastAsia" w:ascii="Times New Roman" w:hAnsi="Times New Roman" w:cs="Times New Roman"/>
                <w:color w:val="auto"/>
                <w:sz w:val="24"/>
                <w:szCs w:val="24"/>
                <w:lang w:val="en-US" w:eastAsia="zh-CN"/>
              </w:rPr>
              <w:t xml:space="preserve"> %</w:t>
            </w:r>
          </w:p>
        </w:tc>
      </w:tr>
      <w:tr w14:paraId="046A5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94" w:type="dxa"/>
            <w:noWrap w:val="0"/>
            <w:vAlign w:val="center"/>
          </w:tcPr>
          <w:p w14:paraId="34C13665">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依据</w:t>
            </w:r>
          </w:p>
        </w:tc>
        <w:tc>
          <w:tcPr>
            <w:tcW w:w="7791" w:type="dxa"/>
            <w:gridSpan w:val="7"/>
            <w:noWrap w:val="0"/>
            <w:vAlign w:val="center"/>
          </w:tcPr>
          <w:p w14:paraId="1264AEC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（1）《国务院关于修改〈建设项目环境保护管理条例〉的决定》（中华人民共和国国务院令682号，2017年7月16日修订）；</w:t>
            </w:r>
          </w:p>
          <w:p w14:paraId="77846B9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（2）生态环境保护部公告，2018年第9号《建设项目竣工环境保护验收技术指南 污染影响类 》（2018年5月15日）；</w:t>
            </w:r>
          </w:p>
          <w:p w14:paraId="4358FBC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（3）国家环境保护部</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国环规环评[2017]4号《建设项目竣工环境保护验收暂行办法》（2017年11月20日）；</w:t>
            </w:r>
          </w:p>
          <w:p w14:paraId="6957685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val="en-US" w:eastAsia="zh-CN"/>
              </w:rPr>
              <w:t>生态环境部办公厅关于印发《污染影响类建设项目重大变动清单（试行）》的通知（环办环评函〔2020〕688号）；</w:t>
            </w:r>
          </w:p>
          <w:p w14:paraId="17D020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FF"/>
                <w:sz w:val="24"/>
                <w:szCs w:val="24"/>
                <w:lang w:val="en-US" w:eastAsia="zh-CN"/>
              </w:rPr>
            </w:pPr>
            <w:r>
              <w:rPr>
                <w:rFonts w:hint="eastAsia" w:ascii="Times New Roman" w:hAnsi="Times New Roman"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生态环境部  部令[2024]第32号《排污许可管理办法》（2024年7月1日施行）；</w:t>
            </w:r>
          </w:p>
          <w:p w14:paraId="431028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6</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四川省突发环境事件应急预案备案行业名录（2022 年版）</w:t>
            </w:r>
            <w:r>
              <w:rPr>
                <w:rFonts w:hint="eastAsia" w:ascii="Times New Roman" w:hAnsi="Times New Roman" w:eastAsia="宋体" w:cs="Times New Roman"/>
                <w:color w:val="auto"/>
                <w:sz w:val="24"/>
                <w:szCs w:val="24"/>
                <w:lang w:eastAsia="zh-CN"/>
              </w:rPr>
              <w:t>》川环</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eastAsia="zh-CN"/>
              </w:rPr>
              <w:t>规（</w:t>
            </w:r>
            <w:r>
              <w:rPr>
                <w:rFonts w:hint="eastAsia" w:ascii="Times New Roman" w:hAnsi="Times New Roman" w:eastAsia="宋体" w:cs="Times New Roman"/>
                <w:color w:val="auto"/>
                <w:sz w:val="24"/>
                <w:szCs w:val="24"/>
                <w:lang w:val="en-US" w:eastAsia="zh-CN"/>
              </w:rPr>
              <w:t>2022</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5号</w:t>
            </w:r>
          </w:p>
          <w:p w14:paraId="3C6EAC44">
            <w:pPr>
              <w:pStyle w:val="13"/>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（7）</w:t>
            </w:r>
            <w:r>
              <w:rPr>
                <w:rFonts w:hint="default" w:ascii="Times New Roman" w:hAnsi="Times New Roman" w:eastAsia="宋体" w:cs="Times New Roman"/>
                <w:color w:val="auto"/>
                <w:kern w:val="2"/>
                <w:sz w:val="24"/>
                <w:szCs w:val="24"/>
                <w:lang w:val="en-US" w:eastAsia="zh-CN" w:bidi="ar-SA"/>
              </w:rPr>
              <w:fldChar w:fldCharType="begin"/>
            </w:r>
            <w:r>
              <w:rPr>
                <w:rFonts w:hint="default" w:ascii="Times New Roman" w:hAnsi="Times New Roman" w:eastAsia="宋体" w:cs="Times New Roman"/>
                <w:color w:val="auto"/>
                <w:kern w:val="2"/>
                <w:sz w:val="24"/>
                <w:szCs w:val="24"/>
                <w:lang w:val="en-US" w:eastAsia="zh-CN" w:bidi="ar-SA"/>
              </w:rPr>
              <w:instrText xml:space="preserve"> HYPERLINK "https://www.mee.gov.cn/ywgz/fgbz/bz/bzwb/jcffbz/202001/W020200113382867127256.pdf" </w:instrText>
            </w:r>
            <w:r>
              <w:rPr>
                <w:rFonts w:hint="default" w:ascii="Times New Roman" w:hAnsi="Times New Roman" w:eastAsia="宋体" w:cs="Times New Roman"/>
                <w:color w:val="auto"/>
                <w:kern w:val="2"/>
                <w:sz w:val="24"/>
                <w:szCs w:val="24"/>
                <w:lang w:val="en-US" w:eastAsia="zh-CN" w:bidi="ar-SA"/>
              </w:rPr>
              <w:fldChar w:fldCharType="separate"/>
            </w:r>
            <w:r>
              <w:rPr>
                <w:rFonts w:hint="eastAsia" w:ascii="Times New Roman" w:hAnsi="Times New Roman" w:eastAsia="宋体" w:cs="Times New Roman"/>
                <w:color w:val="auto"/>
                <w:kern w:val="2"/>
                <w:sz w:val="24"/>
                <w:szCs w:val="24"/>
                <w:lang w:val="en-US" w:eastAsia="zh-CN" w:bidi="ar-SA"/>
              </w:rPr>
              <w:t>排污单位自行监测技术指南 水处理（HJ 1083—2020）</w:t>
            </w:r>
            <w:r>
              <w:rPr>
                <w:rFonts w:hint="eastAsia" w:ascii="Times New Roman" w:hAnsi="Times New Roman" w:eastAsia="宋体" w:cs="Times New Roman"/>
                <w:color w:val="auto"/>
                <w:kern w:val="2"/>
                <w:sz w:val="24"/>
                <w:szCs w:val="24"/>
                <w:lang w:val="en-US" w:eastAsia="zh-CN" w:bidi="ar-SA"/>
              </w:rPr>
              <w:fldChar w:fldCharType="end"/>
            </w:r>
          </w:p>
          <w:p w14:paraId="43F3432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rPr>
              <w:t>（</w:t>
            </w:r>
            <w:r>
              <w:rPr>
                <w:rFonts w:hint="eastAsia" w:cs="Times New Roman"/>
                <w:color w:val="auto"/>
                <w:sz w:val="24"/>
                <w:szCs w:val="24"/>
                <w:lang w:val="en-US" w:eastAsia="zh-CN"/>
              </w:rPr>
              <w:t>8</w:t>
            </w:r>
            <w:r>
              <w:rPr>
                <w:rFonts w:hint="default" w:ascii="Times New Roman" w:hAnsi="Times New Roman" w:cs="Times New Roman"/>
                <w:color w:val="auto"/>
                <w:sz w:val="24"/>
                <w:szCs w:val="24"/>
              </w:rPr>
              <w:t>）</w:t>
            </w:r>
            <w:r>
              <w:rPr>
                <w:rFonts w:hint="eastAsia" w:ascii="Times New Roman" w:hAnsi="Times New Roman" w:eastAsia="宋体" w:cs="Times New Roman"/>
                <w:color w:val="auto"/>
                <w:sz w:val="24"/>
                <w:szCs w:val="24"/>
                <w:lang w:eastAsia="zh-CN"/>
              </w:rPr>
              <w:t>四川友信恒创环保科技有限公司</w:t>
            </w:r>
            <w:r>
              <w:rPr>
                <w:rFonts w:hint="default" w:ascii="Times New Roman" w:hAnsi="Times New Roman" w:cs="Times New Roman"/>
                <w:color w:val="auto"/>
                <w:sz w:val="24"/>
                <w:szCs w:val="24"/>
                <w:lang w:val="en-US" w:eastAsia="zh-CN"/>
              </w:rPr>
              <w:t>《</w:t>
            </w:r>
            <w:r>
              <w:rPr>
                <w:rFonts w:hint="eastAsia" w:cs="Times New Roman"/>
                <w:color w:val="auto"/>
                <w:sz w:val="24"/>
                <w:szCs w:val="24"/>
                <w:lang w:eastAsia="zh-CN"/>
              </w:rPr>
              <w:t>青川县餐厨垃圾无害化处理、资源化利用项目</w:t>
            </w:r>
            <w:r>
              <w:rPr>
                <w:sz w:val="24"/>
              </w:rPr>
              <w:t>环境影响报告</w:t>
            </w:r>
            <w:r>
              <w:rPr>
                <w:rFonts w:hint="eastAsia"/>
                <w:sz w:val="24"/>
              </w:rPr>
              <w:t>表</w:t>
            </w:r>
            <w:r>
              <w:rPr>
                <w:rFonts w:hint="default" w:ascii="Times New Roman" w:hAnsi="Times New Roman" w:cs="Times New Roman"/>
                <w:color w:val="auto"/>
                <w:sz w:val="24"/>
                <w:szCs w:val="24"/>
                <w:lang w:val="en-US" w:eastAsia="zh-CN"/>
              </w:rPr>
              <w:t>》；</w:t>
            </w:r>
          </w:p>
          <w:p w14:paraId="2F46EC0D">
            <w:pPr>
              <w:spacing w:line="360" w:lineRule="auto"/>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eastAsia" w:cs="Times New Roman"/>
                <w:color w:val="auto"/>
                <w:sz w:val="24"/>
                <w:szCs w:val="24"/>
                <w:lang w:val="en-US" w:eastAsia="zh-CN"/>
              </w:rPr>
              <w:t>9</w:t>
            </w:r>
            <w:r>
              <w:rPr>
                <w:rFonts w:hint="eastAsia" w:ascii="Times New Roman" w:hAnsi="Times New Roman" w:cs="Times New Roman"/>
                <w:color w:val="auto"/>
                <w:sz w:val="24"/>
                <w:szCs w:val="24"/>
                <w:lang w:eastAsia="zh-CN"/>
              </w:rPr>
              <w:t>）</w:t>
            </w:r>
            <w:r>
              <w:rPr>
                <w:rFonts w:hint="eastAsia"/>
                <w:color w:val="auto"/>
                <w:sz w:val="24"/>
              </w:rPr>
              <w:t>广元市</w:t>
            </w:r>
            <w:r>
              <w:rPr>
                <w:rFonts w:hint="eastAsia"/>
                <w:color w:val="auto"/>
                <w:sz w:val="24"/>
                <w:lang w:eastAsia="zh-CN"/>
              </w:rPr>
              <w:t>青川生态环境局</w:t>
            </w:r>
            <w:r>
              <w:rPr>
                <w:rFonts w:hint="eastAsia"/>
                <w:color w:val="auto"/>
                <w:sz w:val="24"/>
                <w:lang w:val="en-US" w:eastAsia="zh-CN"/>
              </w:rPr>
              <w:t>关于</w:t>
            </w:r>
            <w:r>
              <w:rPr>
                <w:rFonts w:hint="eastAsia"/>
                <w:color w:val="auto"/>
                <w:sz w:val="24"/>
              </w:rPr>
              <w:t>《</w:t>
            </w:r>
            <w:r>
              <w:rPr>
                <w:rFonts w:hint="eastAsia" w:cs="Times New Roman"/>
                <w:color w:val="auto"/>
                <w:sz w:val="24"/>
                <w:szCs w:val="24"/>
                <w:lang w:eastAsia="zh-CN"/>
              </w:rPr>
              <w:t>青川县餐厨垃圾无害化处理、资源化利用项目</w:t>
            </w:r>
            <w:r>
              <w:rPr>
                <w:color w:val="auto"/>
                <w:sz w:val="24"/>
              </w:rPr>
              <w:t>环境影响报告</w:t>
            </w:r>
            <w:r>
              <w:rPr>
                <w:rFonts w:hint="eastAsia"/>
                <w:color w:val="auto"/>
                <w:sz w:val="24"/>
              </w:rPr>
              <w:t>表》的</w:t>
            </w:r>
            <w:r>
              <w:rPr>
                <w:color w:val="auto"/>
                <w:sz w:val="24"/>
              </w:rPr>
              <w:t>批复（</w:t>
            </w:r>
            <w:r>
              <w:rPr>
                <w:rFonts w:hint="eastAsia"/>
                <w:color w:val="auto"/>
                <w:sz w:val="24"/>
                <w:lang w:eastAsia="zh-CN"/>
              </w:rPr>
              <w:t>广青环审</w:t>
            </w:r>
            <w:r>
              <w:rPr>
                <w:rFonts w:hint="eastAsia"/>
                <w:color w:val="auto"/>
                <w:sz w:val="24"/>
              </w:rPr>
              <w:t>［</w:t>
            </w:r>
            <w:r>
              <w:rPr>
                <w:rFonts w:ascii="Times New Roman" w:hAnsi="Times New Roman"/>
                <w:color w:val="auto"/>
                <w:sz w:val="24"/>
              </w:rPr>
              <w:t>20</w:t>
            </w:r>
            <w:r>
              <w:rPr>
                <w:rFonts w:hint="eastAsia"/>
                <w:color w:val="auto"/>
                <w:sz w:val="24"/>
                <w:lang w:val="en-US" w:eastAsia="zh-CN"/>
              </w:rPr>
              <w:t>24</w:t>
            </w:r>
            <w:r>
              <w:rPr>
                <w:rFonts w:hint="eastAsia"/>
                <w:color w:val="auto"/>
                <w:sz w:val="24"/>
              </w:rPr>
              <w:t>］</w:t>
            </w:r>
            <w:r>
              <w:rPr>
                <w:rFonts w:hint="eastAsia"/>
                <w:color w:val="auto"/>
                <w:sz w:val="24"/>
                <w:lang w:val="en-US" w:eastAsia="zh-CN"/>
              </w:rPr>
              <w:t>3</w:t>
            </w:r>
            <w:r>
              <w:rPr>
                <w:color w:val="auto"/>
                <w:sz w:val="24"/>
              </w:rPr>
              <w:t>号）；</w:t>
            </w:r>
          </w:p>
          <w:p w14:paraId="0FBB875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1</w:t>
            </w:r>
            <w:r>
              <w:rPr>
                <w:rFonts w:hint="eastAsia" w:cs="Times New Roman"/>
                <w:color w:val="auto"/>
                <w:sz w:val="24"/>
                <w:szCs w:val="24"/>
                <w:lang w:val="en-US" w:eastAsia="zh-CN"/>
              </w:rPr>
              <w:t>0</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四川恒宇环境节能检测有限公司</w:t>
            </w:r>
            <w:r>
              <w:rPr>
                <w:rFonts w:hint="default" w:ascii="Times New Roman" w:hAnsi="Times New Roman" w:cs="Times New Roman"/>
                <w:color w:val="auto"/>
                <w:sz w:val="24"/>
                <w:szCs w:val="24"/>
                <w:lang w:val="en-US" w:eastAsia="zh-CN"/>
              </w:rPr>
              <w:t>《</w:t>
            </w:r>
            <w:r>
              <w:rPr>
                <w:rFonts w:hint="eastAsia" w:cs="Times New Roman"/>
                <w:color w:val="auto"/>
                <w:sz w:val="24"/>
                <w:szCs w:val="24"/>
                <w:lang w:eastAsia="zh-CN"/>
              </w:rPr>
              <w:t>青川县餐厨垃圾无害化处理、资源化利用项目</w:t>
            </w:r>
            <w:r>
              <w:rPr>
                <w:rFonts w:hint="eastAsia" w:ascii="Times New Roman" w:hAnsi="Times New Roman" w:cs="Times New Roman"/>
                <w:color w:val="auto"/>
                <w:sz w:val="24"/>
                <w:szCs w:val="24"/>
                <w:lang w:val="en-US" w:eastAsia="zh-CN"/>
              </w:rPr>
              <w:t>检测报告</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w:t>
            </w:r>
          </w:p>
        </w:tc>
      </w:tr>
      <w:tr w14:paraId="2C648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80" w:hRule="atLeast"/>
          <w:jc w:val="center"/>
        </w:trPr>
        <w:tc>
          <w:tcPr>
            <w:tcW w:w="2394" w:type="dxa"/>
            <w:noWrap w:val="0"/>
            <w:vAlign w:val="center"/>
          </w:tcPr>
          <w:p w14:paraId="6D5476D7">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评价标准、标号、级别、限值</w:t>
            </w:r>
          </w:p>
        </w:tc>
        <w:tc>
          <w:tcPr>
            <w:tcW w:w="7791" w:type="dxa"/>
            <w:gridSpan w:val="7"/>
            <w:noWrap w:val="0"/>
            <w:vAlign w:val="center"/>
          </w:tcPr>
          <w:p w14:paraId="4D77C98C">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rPr>
            </w:pPr>
            <w:r>
              <w:rPr>
                <w:rFonts w:hint="default" w:ascii="宋体" w:hAnsi="宋体" w:eastAsia="宋体"/>
                <w:b/>
                <w:color w:val="000000"/>
                <w:sz w:val="21"/>
                <w:szCs w:val="21"/>
              </w:rPr>
              <w:t>表1-1</w:t>
            </w:r>
            <w:r>
              <w:rPr>
                <w:rFonts w:hint="default"/>
                <w:b/>
                <w:color w:val="000000"/>
                <w:sz w:val="21"/>
                <w:szCs w:val="21"/>
              </w:rPr>
              <w:t xml:space="preserve">  </w:t>
            </w:r>
            <w:r>
              <w:rPr>
                <w:rFonts w:hint="eastAsia" w:ascii="宋体" w:hAnsi="宋体" w:eastAsia="宋体"/>
                <w:b/>
                <w:color w:val="000000"/>
                <w:sz w:val="21"/>
                <w:szCs w:val="21"/>
                <w:lang w:val="en-US" w:eastAsia="zh-CN"/>
              </w:rPr>
              <w:t>环评</w:t>
            </w:r>
            <w:r>
              <w:rPr>
                <w:rFonts w:hint="default" w:ascii="宋体" w:hAnsi="宋体" w:eastAsia="宋体"/>
                <w:b/>
                <w:color w:val="000000"/>
                <w:sz w:val="21"/>
                <w:szCs w:val="21"/>
              </w:rPr>
              <w:t>评价标准与</w:t>
            </w:r>
            <w:r>
              <w:rPr>
                <w:rFonts w:hint="eastAsia" w:ascii="宋体" w:hAnsi="宋体" w:eastAsia="宋体"/>
                <w:b/>
                <w:color w:val="000000"/>
                <w:sz w:val="21"/>
                <w:szCs w:val="21"/>
                <w:lang w:val="en-US" w:eastAsia="zh-CN"/>
              </w:rPr>
              <w:t>验收检测</w:t>
            </w:r>
            <w:r>
              <w:rPr>
                <w:rFonts w:hint="default" w:ascii="宋体" w:hAnsi="宋体" w:eastAsia="宋体"/>
                <w:b/>
                <w:color w:val="000000"/>
                <w:sz w:val="21"/>
                <w:szCs w:val="21"/>
              </w:rPr>
              <w:t>标准对照表</w:t>
            </w:r>
          </w:p>
          <w:tbl>
            <w:tblPr>
              <w:tblStyle w:val="34"/>
              <w:tblW w:w="7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138"/>
              <w:gridCol w:w="1214"/>
              <w:gridCol w:w="5"/>
              <w:gridCol w:w="1151"/>
              <w:gridCol w:w="1095"/>
              <w:gridCol w:w="1237"/>
              <w:gridCol w:w="5"/>
              <w:gridCol w:w="1241"/>
            </w:tblGrid>
            <w:tr w14:paraId="385D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7" w:type="dxa"/>
                  <w:noWrap w:val="0"/>
                  <w:vAlign w:val="center"/>
                </w:tcPr>
                <w:p w14:paraId="3F461ADF">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类型</w:t>
                  </w:r>
                </w:p>
              </w:tc>
              <w:tc>
                <w:tcPr>
                  <w:tcW w:w="3508" w:type="dxa"/>
                  <w:gridSpan w:val="4"/>
                  <w:noWrap w:val="0"/>
                  <w:vAlign w:val="center"/>
                </w:tcPr>
                <w:p w14:paraId="6EA8F36B">
                  <w:pPr>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环评</w:t>
                  </w:r>
                  <w:r>
                    <w:rPr>
                      <w:rFonts w:hint="default" w:ascii="Times New Roman" w:hAnsi="Times New Roman" w:eastAsia="宋体" w:cs="Times New Roman"/>
                      <w:sz w:val="21"/>
                      <w:szCs w:val="21"/>
                    </w:rPr>
                    <w:t>标准</w:t>
                  </w:r>
                </w:p>
              </w:tc>
              <w:tc>
                <w:tcPr>
                  <w:tcW w:w="3578" w:type="dxa"/>
                  <w:gridSpan w:val="4"/>
                  <w:noWrap w:val="0"/>
                  <w:vAlign w:val="center"/>
                </w:tcPr>
                <w:p w14:paraId="42D01B6C">
                  <w:pPr>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验收</w:t>
                  </w:r>
                  <w:r>
                    <w:rPr>
                      <w:rFonts w:hint="default" w:ascii="Times New Roman" w:hAnsi="Times New Roman" w:eastAsia="宋体" w:cs="Times New Roman"/>
                      <w:sz w:val="21"/>
                      <w:szCs w:val="21"/>
                    </w:rPr>
                    <w:t>标准</w:t>
                  </w:r>
                </w:p>
              </w:tc>
            </w:tr>
            <w:tr w14:paraId="5915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637" w:type="dxa"/>
                  <w:vMerge w:val="restart"/>
                  <w:noWrap w:val="0"/>
                  <w:vAlign w:val="center"/>
                </w:tcPr>
                <w:p w14:paraId="2F39662A">
                  <w:pPr>
                    <w:ind w:firstLine="0" w:firstLineChars="0"/>
                    <w:jc w:val="center"/>
                    <w:rPr>
                      <w:rFonts w:hint="default" w:ascii="Times New Roman" w:hAnsi="Times New Roman" w:eastAsia="宋体" w:cs="Times New Roman"/>
                      <w:sz w:val="21"/>
                      <w:szCs w:val="21"/>
                    </w:rPr>
                  </w:pPr>
                  <w:r>
                    <w:rPr>
                      <w:rFonts w:hint="eastAsia" w:cs="Times New Roman"/>
                      <w:sz w:val="21"/>
                      <w:szCs w:val="21"/>
                      <w:lang w:eastAsia="zh-CN"/>
                    </w:rPr>
                    <w:t>无组织</w:t>
                  </w:r>
                  <w:r>
                    <w:rPr>
                      <w:rFonts w:hint="default" w:ascii="Times New Roman" w:hAnsi="Times New Roman" w:eastAsia="宋体" w:cs="Times New Roman"/>
                      <w:sz w:val="21"/>
                      <w:szCs w:val="21"/>
                    </w:rPr>
                    <w:t>废气</w:t>
                  </w:r>
                </w:p>
              </w:tc>
              <w:tc>
                <w:tcPr>
                  <w:tcW w:w="1138" w:type="dxa"/>
                  <w:noWrap w:val="0"/>
                  <w:vAlign w:val="center"/>
                </w:tcPr>
                <w:p w14:paraId="6F119341">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tc>
              <w:tc>
                <w:tcPr>
                  <w:tcW w:w="2370" w:type="dxa"/>
                  <w:gridSpan w:val="3"/>
                  <w:noWrap w:val="0"/>
                  <w:vAlign w:val="center"/>
                </w:tcPr>
                <w:p w14:paraId="23ADC525">
                  <w:pPr>
                    <w:spacing w:line="240" w:lineRule="auto"/>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rPr>
                    <w:t>《</w:t>
                  </w:r>
                  <w:r>
                    <w:rPr>
                      <w:rFonts w:hint="default" w:ascii="Times New Roman" w:hAnsi="Times New Roman" w:cs="Times New Roman"/>
                      <w:color w:val="000000"/>
                      <w:sz w:val="21"/>
                      <w:szCs w:val="21"/>
                      <w:lang w:val="en-US" w:eastAsia="zh-CN"/>
                    </w:rPr>
                    <w:t>恶臭污染物排放标准</w:t>
                  </w:r>
                  <w:r>
                    <w:rPr>
                      <w:rFonts w:hint="default" w:ascii="Times New Roman" w:hAnsi="Times New Roman" w:cs="Times New Roman"/>
                      <w:color w:val="000000"/>
                      <w:sz w:val="21"/>
                      <w:szCs w:val="21"/>
                    </w:rPr>
                    <w:t>》GB</w:t>
                  </w:r>
                  <w:r>
                    <w:rPr>
                      <w:rFonts w:hint="default" w:ascii="Times New Roman" w:hAnsi="Times New Roman" w:cs="Times New Roman"/>
                      <w:color w:val="000000"/>
                      <w:sz w:val="21"/>
                      <w:szCs w:val="21"/>
                      <w:lang w:val="en-US" w:eastAsia="zh-CN"/>
                    </w:rPr>
                    <w:t xml:space="preserve"> 14554-93表1二级新扩改建</w:t>
                  </w:r>
                </w:p>
                <w:p w14:paraId="3A2D53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rPr>
                  </w:pPr>
                  <w:r>
                    <w:rPr>
                      <w:rFonts w:hint="default" w:ascii="Times New Roman" w:hAnsi="Times New Roman" w:cs="Times New Roman"/>
                      <w:b w:val="0"/>
                      <w:bCs/>
                      <w:color w:val="000000"/>
                      <w:sz w:val="21"/>
                      <w:szCs w:val="21"/>
                      <w:vertAlign w:val="baseline"/>
                      <w:lang w:eastAsia="zh-CN"/>
                    </w:rPr>
                    <w:t>《</w:t>
                  </w:r>
                  <w:r>
                    <w:rPr>
                      <w:rFonts w:hint="default" w:ascii="Times New Roman" w:hAnsi="Times New Roman" w:cs="Times New Roman"/>
                      <w:b w:val="0"/>
                      <w:bCs/>
                      <w:color w:val="000000"/>
                      <w:sz w:val="21"/>
                      <w:szCs w:val="21"/>
                      <w:vertAlign w:val="baseline"/>
                      <w:lang w:val="en-US" w:eastAsia="zh-CN"/>
                    </w:rPr>
                    <w:t>大气污染物综合排放标准</w:t>
                  </w:r>
                  <w:r>
                    <w:rPr>
                      <w:rFonts w:hint="default" w:ascii="Times New Roman" w:hAnsi="Times New Roman" w:cs="Times New Roman"/>
                      <w:b w:val="0"/>
                      <w:bCs/>
                      <w:color w:val="000000"/>
                      <w:sz w:val="21"/>
                      <w:szCs w:val="21"/>
                      <w:vertAlign w:val="baseline"/>
                      <w:lang w:eastAsia="zh-CN"/>
                    </w:rPr>
                    <w:t>》</w:t>
                  </w:r>
                  <w:r>
                    <w:rPr>
                      <w:rFonts w:hint="default" w:ascii="Times New Roman" w:hAnsi="Times New Roman" w:cs="Times New Roman"/>
                      <w:b w:val="0"/>
                      <w:bCs/>
                      <w:color w:val="000000"/>
                      <w:sz w:val="21"/>
                      <w:szCs w:val="21"/>
                      <w:vertAlign w:val="baseline"/>
                      <w:lang w:val="en-US" w:eastAsia="zh-CN"/>
                    </w:rPr>
                    <w:t xml:space="preserve">GB 16297-1996 表2 </w:t>
                  </w:r>
                </w:p>
              </w:tc>
              <w:tc>
                <w:tcPr>
                  <w:tcW w:w="1095" w:type="dxa"/>
                  <w:noWrap w:val="0"/>
                  <w:vAlign w:val="center"/>
                </w:tcPr>
                <w:p w14:paraId="5E9AF99B">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tc>
              <w:tc>
                <w:tcPr>
                  <w:tcW w:w="2483" w:type="dxa"/>
                  <w:gridSpan w:val="3"/>
                  <w:noWrap w:val="0"/>
                  <w:vAlign w:val="center"/>
                </w:tcPr>
                <w:p w14:paraId="754E8C9C">
                  <w:pPr>
                    <w:spacing w:line="240" w:lineRule="auto"/>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rPr>
                    <w:t>《</w:t>
                  </w:r>
                  <w:r>
                    <w:rPr>
                      <w:rFonts w:hint="default" w:ascii="Times New Roman" w:hAnsi="Times New Roman" w:cs="Times New Roman"/>
                      <w:color w:val="000000"/>
                      <w:sz w:val="21"/>
                      <w:szCs w:val="21"/>
                      <w:lang w:val="en-US" w:eastAsia="zh-CN"/>
                    </w:rPr>
                    <w:t>恶臭污染物排放标准</w:t>
                  </w:r>
                  <w:r>
                    <w:rPr>
                      <w:rFonts w:hint="default" w:ascii="Times New Roman" w:hAnsi="Times New Roman" w:cs="Times New Roman"/>
                      <w:color w:val="000000"/>
                      <w:sz w:val="21"/>
                      <w:szCs w:val="21"/>
                    </w:rPr>
                    <w:t>》GB</w:t>
                  </w:r>
                  <w:r>
                    <w:rPr>
                      <w:rFonts w:hint="default" w:ascii="Times New Roman" w:hAnsi="Times New Roman" w:cs="Times New Roman"/>
                      <w:color w:val="000000"/>
                      <w:sz w:val="21"/>
                      <w:szCs w:val="21"/>
                      <w:lang w:val="en-US" w:eastAsia="zh-CN"/>
                    </w:rPr>
                    <w:t xml:space="preserve"> 14554-93表1二级新扩改建</w:t>
                  </w:r>
                </w:p>
                <w:p w14:paraId="0237F07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eastAsia="zh-CN"/>
                    </w:rPr>
                  </w:pPr>
                  <w:r>
                    <w:rPr>
                      <w:rFonts w:hint="default" w:ascii="Times New Roman" w:hAnsi="Times New Roman" w:cs="Times New Roman"/>
                      <w:b w:val="0"/>
                      <w:bCs/>
                      <w:color w:val="000000"/>
                      <w:sz w:val="21"/>
                      <w:szCs w:val="21"/>
                      <w:vertAlign w:val="baseline"/>
                      <w:lang w:eastAsia="zh-CN"/>
                    </w:rPr>
                    <w:t>《</w:t>
                  </w:r>
                  <w:r>
                    <w:rPr>
                      <w:rFonts w:hint="default" w:ascii="Times New Roman" w:hAnsi="Times New Roman" w:cs="Times New Roman"/>
                      <w:b w:val="0"/>
                      <w:bCs/>
                      <w:color w:val="000000"/>
                      <w:sz w:val="21"/>
                      <w:szCs w:val="21"/>
                      <w:vertAlign w:val="baseline"/>
                      <w:lang w:val="en-US" w:eastAsia="zh-CN"/>
                    </w:rPr>
                    <w:t>大气污染物综合排放标准</w:t>
                  </w:r>
                  <w:r>
                    <w:rPr>
                      <w:rFonts w:hint="default" w:ascii="Times New Roman" w:hAnsi="Times New Roman" w:cs="Times New Roman"/>
                      <w:b w:val="0"/>
                      <w:bCs/>
                      <w:color w:val="000000"/>
                      <w:sz w:val="21"/>
                      <w:szCs w:val="21"/>
                      <w:vertAlign w:val="baseline"/>
                      <w:lang w:eastAsia="zh-CN"/>
                    </w:rPr>
                    <w:t>》</w:t>
                  </w:r>
                  <w:r>
                    <w:rPr>
                      <w:rFonts w:hint="default" w:ascii="Times New Roman" w:hAnsi="Times New Roman" w:cs="Times New Roman"/>
                      <w:b w:val="0"/>
                      <w:bCs/>
                      <w:color w:val="000000"/>
                      <w:sz w:val="21"/>
                      <w:szCs w:val="21"/>
                      <w:vertAlign w:val="baseline"/>
                      <w:lang w:val="en-US" w:eastAsia="zh-CN"/>
                    </w:rPr>
                    <w:t xml:space="preserve">GB 16297-1996 表2 </w:t>
                  </w:r>
                </w:p>
              </w:tc>
            </w:tr>
            <w:tr w14:paraId="165D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37" w:type="dxa"/>
                  <w:vMerge w:val="continue"/>
                  <w:noWrap w:val="0"/>
                  <w:vAlign w:val="center"/>
                </w:tcPr>
                <w:p w14:paraId="222AF023">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046F9EFB">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2370" w:type="dxa"/>
                  <w:gridSpan w:val="3"/>
                  <w:noWrap w:val="0"/>
                  <w:vAlign w:val="center"/>
                </w:tcPr>
                <w:p w14:paraId="2EF6A181">
                  <w:pPr>
                    <w:spacing w:line="240" w:lineRule="auto"/>
                    <w:ind w:firstLine="0" w:firstLineChars="0"/>
                    <w:jc w:val="center"/>
                    <w:rPr>
                      <w:rFonts w:hint="eastAsia" w:ascii="Times New Roman" w:hAnsi="Times New Roman" w:eastAsia="宋体" w:cs="Times New Roman"/>
                      <w:sz w:val="21"/>
                      <w:szCs w:val="21"/>
                      <w:lang w:eastAsia="zh-CN"/>
                    </w:rPr>
                  </w:pPr>
                  <w:r>
                    <w:rPr>
                      <w:rFonts w:hint="default" w:ascii="Times New Roman" w:hAnsi="Times New Roman" w:cs="Times New Roman"/>
                      <w:color w:val="auto"/>
                      <w:sz w:val="21"/>
                      <w:szCs w:val="21"/>
                    </w:rPr>
                    <w:t>标准限值</w:t>
                  </w:r>
                </w:p>
              </w:tc>
              <w:tc>
                <w:tcPr>
                  <w:tcW w:w="1095" w:type="dxa"/>
                  <w:noWrap w:val="0"/>
                  <w:vAlign w:val="center"/>
                </w:tcPr>
                <w:p w14:paraId="4DCF82CA">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2483" w:type="dxa"/>
                  <w:gridSpan w:val="3"/>
                  <w:noWrap w:val="0"/>
                  <w:vAlign w:val="center"/>
                </w:tcPr>
                <w:p w14:paraId="611E07F5">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21"/>
                      <w:szCs w:val="21"/>
                    </w:rPr>
                    <w:t>标准限值</w:t>
                  </w:r>
                </w:p>
              </w:tc>
            </w:tr>
            <w:tr w14:paraId="2D0A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37" w:type="dxa"/>
                  <w:vMerge w:val="continue"/>
                  <w:noWrap w:val="0"/>
                  <w:vAlign w:val="center"/>
                </w:tcPr>
                <w:p w14:paraId="12616064">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37350EBF">
                  <w:pPr>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w:t>
                  </w:r>
                </w:p>
              </w:tc>
              <w:tc>
                <w:tcPr>
                  <w:tcW w:w="2370" w:type="dxa"/>
                  <w:gridSpan w:val="3"/>
                  <w:noWrap w:val="0"/>
                  <w:vAlign w:val="center"/>
                </w:tcPr>
                <w:p w14:paraId="5A849F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0.06</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c>
                <w:tcPr>
                  <w:tcW w:w="1095" w:type="dxa"/>
                  <w:noWrap w:val="0"/>
                  <w:vAlign w:val="center"/>
                </w:tcPr>
                <w:p w14:paraId="3F62D70D">
                  <w:pPr>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w:t>
                  </w:r>
                </w:p>
              </w:tc>
              <w:tc>
                <w:tcPr>
                  <w:tcW w:w="2483" w:type="dxa"/>
                  <w:gridSpan w:val="3"/>
                  <w:noWrap w:val="0"/>
                  <w:vAlign w:val="center"/>
                </w:tcPr>
                <w:p w14:paraId="0063ED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0.06</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r>
            <w:tr w14:paraId="2552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37" w:type="dxa"/>
                  <w:vMerge w:val="continue"/>
                  <w:noWrap w:val="0"/>
                  <w:vAlign w:val="center"/>
                </w:tcPr>
                <w:p w14:paraId="753AE91E">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44955B27">
                  <w:pPr>
                    <w:snapToGrid w:val="0"/>
                    <w:spacing w:line="24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硫化氢</w:t>
                  </w:r>
                </w:p>
              </w:tc>
              <w:tc>
                <w:tcPr>
                  <w:tcW w:w="2370" w:type="dxa"/>
                  <w:gridSpan w:val="3"/>
                  <w:noWrap w:val="0"/>
                  <w:vAlign w:val="center"/>
                </w:tcPr>
                <w:p w14:paraId="32C2F6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b w:val="0"/>
                      <w:bCs/>
                      <w:color w:val="000000"/>
                      <w:sz w:val="21"/>
                      <w:szCs w:val="21"/>
                      <w:vertAlign w:val="baseline"/>
                      <w:lang w:val="en-US" w:eastAsia="zh-CN"/>
                    </w:rPr>
                    <w:t>1.5</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c>
                <w:tcPr>
                  <w:tcW w:w="1095" w:type="dxa"/>
                  <w:noWrap w:val="0"/>
                  <w:vAlign w:val="center"/>
                </w:tcPr>
                <w:p w14:paraId="7B02B52F">
                  <w:pPr>
                    <w:snapToGrid w:val="0"/>
                    <w:spacing w:line="24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硫化氢</w:t>
                  </w:r>
                </w:p>
              </w:tc>
              <w:tc>
                <w:tcPr>
                  <w:tcW w:w="2483" w:type="dxa"/>
                  <w:gridSpan w:val="3"/>
                  <w:noWrap w:val="0"/>
                  <w:vAlign w:val="center"/>
                </w:tcPr>
                <w:p w14:paraId="4F492F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b w:val="0"/>
                      <w:bCs/>
                      <w:color w:val="000000"/>
                      <w:sz w:val="21"/>
                      <w:szCs w:val="21"/>
                      <w:vertAlign w:val="baseline"/>
                      <w:lang w:val="en-US" w:eastAsia="zh-CN"/>
                    </w:rPr>
                    <w:t>1.5</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r>
            <w:tr w14:paraId="7428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639C0E8F">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46A9DCB2">
                  <w:pPr>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臭气浓度</w:t>
                  </w:r>
                </w:p>
              </w:tc>
              <w:tc>
                <w:tcPr>
                  <w:tcW w:w="2370" w:type="dxa"/>
                  <w:gridSpan w:val="3"/>
                  <w:noWrap w:val="0"/>
                  <w:vAlign w:val="center"/>
                </w:tcPr>
                <w:p w14:paraId="74A308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20（无量纲）</w:t>
                  </w:r>
                </w:p>
              </w:tc>
              <w:tc>
                <w:tcPr>
                  <w:tcW w:w="1095" w:type="dxa"/>
                  <w:noWrap w:val="0"/>
                  <w:vAlign w:val="center"/>
                </w:tcPr>
                <w:p w14:paraId="2796CA99">
                  <w:pPr>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臭气浓度</w:t>
                  </w:r>
                </w:p>
              </w:tc>
              <w:tc>
                <w:tcPr>
                  <w:tcW w:w="2483" w:type="dxa"/>
                  <w:gridSpan w:val="3"/>
                  <w:noWrap w:val="0"/>
                  <w:vAlign w:val="center"/>
                </w:tcPr>
                <w:p w14:paraId="7D67F9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20（无量纲）</w:t>
                  </w:r>
                </w:p>
              </w:tc>
            </w:tr>
            <w:tr w14:paraId="2D90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6FC89400">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7A9A4F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cs="Times New Roman"/>
                      <w:b w:val="0"/>
                      <w:bCs/>
                      <w:color w:val="000000"/>
                      <w:sz w:val="21"/>
                      <w:szCs w:val="21"/>
                      <w:vertAlign w:val="baseline"/>
                      <w:lang w:val="en-US" w:eastAsia="zh-CN"/>
                    </w:rPr>
                    <w:t>颗粒物</w:t>
                  </w:r>
                </w:p>
              </w:tc>
              <w:tc>
                <w:tcPr>
                  <w:tcW w:w="2370" w:type="dxa"/>
                  <w:gridSpan w:val="3"/>
                  <w:noWrap w:val="0"/>
                  <w:vAlign w:val="center"/>
                </w:tcPr>
                <w:p w14:paraId="7078C1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1.0</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c>
                <w:tcPr>
                  <w:tcW w:w="1095" w:type="dxa"/>
                  <w:noWrap w:val="0"/>
                  <w:vAlign w:val="center"/>
                </w:tcPr>
                <w:p w14:paraId="7C179A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cs="Times New Roman"/>
                      <w:b w:val="0"/>
                      <w:bCs/>
                      <w:color w:val="000000"/>
                      <w:sz w:val="21"/>
                      <w:szCs w:val="21"/>
                      <w:vertAlign w:val="baseline"/>
                      <w:lang w:val="en-US" w:eastAsia="zh-CN"/>
                    </w:rPr>
                    <w:t>颗粒物</w:t>
                  </w:r>
                </w:p>
              </w:tc>
              <w:tc>
                <w:tcPr>
                  <w:tcW w:w="2483" w:type="dxa"/>
                  <w:gridSpan w:val="3"/>
                  <w:noWrap w:val="0"/>
                  <w:vAlign w:val="center"/>
                </w:tcPr>
                <w:p w14:paraId="327FC7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1.0</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r>
            <w:tr w14:paraId="1442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1975E1B0">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39CB030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2370" w:type="dxa"/>
                  <w:gridSpan w:val="3"/>
                  <w:noWrap w:val="0"/>
                  <w:vAlign w:val="center"/>
                </w:tcPr>
                <w:p w14:paraId="267D17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b w:val="0"/>
                      <w:bCs/>
                      <w:color w:val="000000"/>
                      <w:sz w:val="21"/>
                      <w:szCs w:val="21"/>
                      <w:vertAlign w:val="baseline"/>
                      <w:lang w:val="en-US" w:eastAsia="zh-CN"/>
                    </w:rPr>
                    <w:t>4.0</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c>
                <w:tcPr>
                  <w:tcW w:w="1095" w:type="dxa"/>
                  <w:noWrap w:val="0"/>
                  <w:vAlign w:val="center"/>
                </w:tcPr>
                <w:p w14:paraId="411CAD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2483" w:type="dxa"/>
                  <w:gridSpan w:val="3"/>
                  <w:noWrap w:val="0"/>
                  <w:vAlign w:val="center"/>
                </w:tcPr>
                <w:p w14:paraId="70DB9C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b w:val="0"/>
                      <w:bCs/>
                      <w:color w:val="000000"/>
                      <w:sz w:val="21"/>
                      <w:szCs w:val="21"/>
                      <w:vertAlign w:val="baseline"/>
                      <w:lang w:val="en-US" w:eastAsia="zh-CN"/>
                    </w:rPr>
                    <w:t>4.0</w:t>
                  </w:r>
                  <w:r>
                    <w:rPr>
                      <w:rFonts w:hint="eastAsia" w:ascii="Times New Roman" w:hAnsi="Times New Roman" w:eastAsia="宋体" w:cs="Times New Roman"/>
                      <w:sz w:val="21"/>
                      <w:szCs w:val="21"/>
                      <w:lang w:val="en-US" w:eastAsia="zh-CN"/>
                    </w:rPr>
                    <w:t xml:space="preserve"> mg/m</w:t>
                  </w:r>
                  <w:r>
                    <w:rPr>
                      <w:rFonts w:hint="eastAsia" w:ascii="Times New Roman" w:hAnsi="Times New Roman" w:eastAsia="宋体" w:cs="Times New Roman"/>
                      <w:sz w:val="21"/>
                      <w:szCs w:val="21"/>
                      <w:vertAlign w:val="superscript"/>
                      <w:lang w:val="en-US" w:eastAsia="zh-CN"/>
                    </w:rPr>
                    <w:t>3</w:t>
                  </w:r>
                </w:p>
              </w:tc>
            </w:tr>
            <w:tr w14:paraId="25AE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restart"/>
                  <w:noWrap w:val="0"/>
                  <w:vAlign w:val="center"/>
                </w:tcPr>
                <w:p w14:paraId="66D633ED">
                  <w:pPr>
                    <w:ind w:firstLine="0" w:firstLineChars="0"/>
                    <w:jc w:val="center"/>
                    <w:rPr>
                      <w:rFonts w:hint="default" w:ascii="Times New Roman" w:hAnsi="Times New Roman" w:eastAsia="宋体" w:cs="Times New Roman"/>
                      <w:sz w:val="21"/>
                      <w:szCs w:val="21"/>
                    </w:rPr>
                  </w:pPr>
                  <w:r>
                    <w:rPr>
                      <w:rFonts w:hint="eastAsia" w:cs="Times New Roman"/>
                      <w:sz w:val="21"/>
                      <w:szCs w:val="21"/>
                      <w:lang w:eastAsia="zh-CN"/>
                    </w:rPr>
                    <w:t>有组织</w:t>
                  </w:r>
                  <w:r>
                    <w:rPr>
                      <w:rFonts w:hint="default" w:ascii="Times New Roman" w:hAnsi="Times New Roman" w:eastAsia="宋体" w:cs="Times New Roman"/>
                      <w:sz w:val="21"/>
                      <w:szCs w:val="21"/>
                    </w:rPr>
                    <w:t>废气</w:t>
                  </w:r>
                </w:p>
              </w:tc>
              <w:tc>
                <w:tcPr>
                  <w:tcW w:w="1138" w:type="dxa"/>
                  <w:noWrap w:val="0"/>
                  <w:vAlign w:val="center"/>
                </w:tcPr>
                <w:p w14:paraId="76C28B8B">
                  <w:pPr>
                    <w:ind w:firstLine="0" w:firstLineChars="0"/>
                    <w:jc w:val="center"/>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sz w:val="21"/>
                      <w:szCs w:val="21"/>
                    </w:rPr>
                    <w:t>标准</w:t>
                  </w:r>
                </w:p>
              </w:tc>
              <w:tc>
                <w:tcPr>
                  <w:tcW w:w="2370" w:type="dxa"/>
                  <w:gridSpan w:val="3"/>
                  <w:noWrap w:val="0"/>
                  <w:vAlign w:val="center"/>
                </w:tcPr>
                <w:p w14:paraId="1711CDF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olor w:val="000000"/>
                      <w:lang w:val="en-US" w:eastAsia="zh-CN"/>
                    </w:rPr>
                  </w:pPr>
                  <w:r>
                    <w:rPr>
                      <w:rFonts w:hint="default"/>
                      <w:color w:val="000000"/>
                    </w:rPr>
                    <w:t>《</w:t>
                  </w:r>
                  <w:r>
                    <w:rPr>
                      <w:rFonts w:hint="eastAsia"/>
                      <w:color w:val="000000"/>
                      <w:lang w:val="en-US" w:eastAsia="zh-CN"/>
                    </w:rPr>
                    <w:t>恶臭污染物排放标准</w:t>
                  </w:r>
                  <w:r>
                    <w:rPr>
                      <w:rFonts w:hint="default"/>
                      <w:color w:val="000000"/>
                    </w:rPr>
                    <w:t>》GB</w:t>
                  </w:r>
                  <w:r>
                    <w:rPr>
                      <w:rFonts w:hint="eastAsia"/>
                      <w:color w:val="000000"/>
                      <w:lang w:val="en-US" w:eastAsia="zh-CN"/>
                    </w:rPr>
                    <w:t xml:space="preserve"> 14554-93表2</w:t>
                  </w:r>
                </w:p>
                <w:p w14:paraId="0A8C7E3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color w:val="auto"/>
                      <w:sz w:val="21"/>
                      <w:szCs w:val="21"/>
                      <w:lang w:val="en-US" w:eastAsia="zh-CN"/>
                    </w:rPr>
                  </w:pPr>
                  <w:r>
                    <w:rPr>
                      <w:color w:val="auto"/>
                      <w:sz w:val="21"/>
                      <w:szCs w:val="21"/>
                    </w:rPr>
                    <w:t>《</w:t>
                  </w:r>
                  <w:r>
                    <w:rPr>
                      <w:rFonts w:hint="eastAsia"/>
                      <w:color w:val="auto"/>
                      <w:sz w:val="21"/>
                      <w:szCs w:val="21"/>
                      <w:lang w:val="en-US" w:eastAsia="zh-CN"/>
                    </w:rPr>
                    <w:t>锅炉</w:t>
                  </w:r>
                  <w:r>
                    <w:rPr>
                      <w:rFonts w:hint="eastAsia"/>
                      <w:color w:val="auto"/>
                      <w:sz w:val="21"/>
                      <w:szCs w:val="21"/>
                      <w:lang w:eastAsia="zh-CN"/>
                    </w:rPr>
                    <w:t>大气污染物排放标准</w:t>
                  </w:r>
                  <w:r>
                    <w:rPr>
                      <w:color w:val="auto"/>
                      <w:sz w:val="21"/>
                      <w:szCs w:val="21"/>
                    </w:rPr>
                    <w:t xml:space="preserve">》GB </w:t>
                  </w:r>
                  <w:r>
                    <w:rPr>
                      <w:rFonts w:hint="eastAsia" w:ascii="Times New Roman" w:hAnsi="Times New Roman"/>
                      <w:color w:val="auto"/>
                      <w:sz w:val="21"/>
                      <w:szCs w:val="21"/>
                      <w:lang w:val="en-US" w:eastAsia="zh-CN"/>
                    </w:rPr>
                    <w:t>13271-2014</w:t>
                  </w:r>
                  <w:r>
                    <w:rPr>
                      <w:color w:val="auto"/>
                      <w:sz w:val="21"/>
                      <w:szCs w:val="21"/>
                    </w:rPr>
                    <w:t>表</w:t>
                  </w:r>
                  <w:r>
                    <w:rPr>
                      <w:rFonts w:hint="eastAsia" w:ascii="Times New Roman" w:hAnsi="Times New Roman"/>
                      <w:color w:val="auto"/>
                      <w:sz w:val="21"/>
                      <w:szCs w:val="21"/>
                      <w:lang w:val="en-US" w:eastAsia="zh-CN"/>
                    </w:rPr>
                    <w:t>2 燃油锅炉</w:t>
                  </w:r>
                </w:p>
                <w:p w14:paraId="55BF8A8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color w:val="auto"/>
                      <w:sz w:val="21"/>
                      <w:szCs w:val="21"/>
                    </w:rPr>
                    <w:t>《</w:t>
                  </w:r>
                  <w:r>
                    <w:rPr>
                      <w:rFonts w:hint="eastAsia"/>
                      <w:color w:val="auto"/>
                      <w:sz w:val="21"/>
                      <w:szCs w:val="21"/>
                      <w:lang w:val="en-US" w:eastAsia="zh-CN"/>
                    </w:rPr>
                    <w:t>四川省固定污染源大气挥发性有机物排放标准</w:t>
                  </w:r>
                  <w:r>
                    <w:rPr>
                      <w:rFonts w:hint="eastAsia"/>
                      <w:color w:val="auto"/>
                      <w:sz w:val="21"/>
                      <w:szCs w:val="21"/>
                    </w:rPr>
                    <w:t>》</w:t>
                  </w:r>
                  <w:r>
                    <w:rPr>
                      <w:rFonts w:hint="eastAsia"/>
                      <w:color w:val="auto"/>
                      <w:sz w:val="21"/>
                      <w:szCs w:val="21"/>
                      <w:lang w:val="en-US" w:eastAsia="zh-CN"/>
                    </w:rPr>
                    <w:t>DB 51/2377- 2017 表3</w:t>
                  </w:r>
                </w:p>
              </w:tc>
              <w:tc>
                <w:tcPr>
                  <w:tcW w:w="1095" w:type="dxa"/>
                  <w:noWrap w:val="0"/>
                  <w:vAlign w:val="center"/>
                </w:tcPr>
                <w:p w14:paraId="4AF511C9">
                  <w:pPr>
                    <w:ind w:firstLine="0" w:firstLineChars="0"/>
                    <w:jc w:val="center"/>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sz w:val="21"/>
                      <w:szCs w:val="21"/>
                    </w:rPr>
                    <w:t>标准</w:t>
                  </w:r>
                </w:p>
              </w:tc>
              <w:tc>
                <w:tcPr>
                  <w:tcW w:w="2483" w:type="dxa"/>
                  <w:gridSpan w:val="3"/>
                  <w:noWrap w:val="0"/>
                  <w:vAlign w:val="center"/>
                </w:tcPr>
                <w:p w14:paraId="48B7E6E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olor w:val="000000"/>
                      <w:lang w:val="en-US" w:eastAsia="zh-CN"/>
                    </w:rPr>
                  </w:pPr>
                  <w:r>
                    <w:rPr>
                      <w:rFonts w:hint="default"/>
                      <w:color w:val="000000"/>
                    </w:rPr>
                    <w:t>《</w:t>
                  </w:r>
                  <w:r>
                    <w:rPr>
                      <w:rFonts w:hint="eastAsia"/>
                      <w:color w:val="000000"/>
                      <w:lang w:val="en-US" w:eastAsia="zh-CN"/>
                    </w:rPr>
                    <w:t>恶臭污染物排放标准</w:t>
                  </w:r>
                  <w:r>
                    <w:rPr>
                      <w:rFonts w:hint="default"/>
                      <w:color w:val="000000"/>
                    </w:rPr>
                    <w:t>》GB</w:t>
                  </w:r>
                  <w:r>
                    <w:rPr>
                      <w:rFonts w:hint="eastAsia"/>
                      <w:color w:val="000000"/>
                      <w:lang w:val="en-US" w:eastAsia="zh-CN"/>
                    </w:rPr>
                    <w:t xml:space="preserve"> 14554-93表2</w:t>
                  </w:r>
                </w:p>
                <w:p w14:paraId="2E16052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color w:val="auto"/>
                      <w:sz w:val="21"/>
                      <w:szCs w:val="21"/>
                      <w:lang w:val="en-US" w:eastAsia="zh-CN"/>
                    </w:rPr>
                  </w:pPr>
                  <w:r>
                    <w:rPr>
                      <w:color w:val="auto"/>
                      <w:sz w:val="21"/>
                      <w:szCs w:val="21"/>
                    </w:rPr>
                    <w:t>《</w:t>
                  </w:r>
                  <w:r>
                    <w:rPr>
                      <w:rFonts w:hint="eastAsia"/>
                      <w:color w:val="auto"/>
                      <w:sz w:val="21"/>
                      <w:szCs w:val="21"/>
                      <w:lang w:val="en-US" w:eastAsia="zh-CN"/>
                    </w:rPr>
                    <w:t>锅炉</w:t>
                  </w:r>
                  <w:r>
                    <w:rPr>
                      <w:rFonts w:hint="eastAsia"/>
                      <w:color w:val="auto"/>
                      <w:sz w:val="21"/>
                      <w:szCs w:val="21"/>
                      <w:lang w:eastAsia="zh-CN"/>
                    </w:rPr>
                    <w:t>大气污染物排放标准</w:t>
                  </w:r>
                  <w:r>
                    <w:rPr>
                      <w:color w:val="auto"/>
                      <w:sz w:val="21"/>
                      <w:szCs w:val="21"/>
                    </w:rPr>
                    <w:t xml:space="preserve">》GB </w:t>
                  </w:r>
                  <w:r>
                    <w:rPr>
                      <w:rFonts w:hint="eastAsia" w:ascii="Times New Roman" w:hAnsi="Times New Roman"/>
                      <w:color w:val="auto"/>
                      <w:sz w:val="21"/>
                      <w:szCs w:val="21"/>
                      <w:lang w:val="en-US" w:eastAsia="zh-CN"/>
                    </w:rPr>
                    <w:t>13271-2014</w:t>
                  </w:r>
                  <w:r>
                    <w:rPr>
                      <w:color w:val="auto"/>
                      <w:sz w:val="21"/>
                      <w:szCs w:val="21"/>
                    </w:rPr>
                    <w:t>表</w:t>
                  </w:r>
                  <w:r>
                    <w:rPr>
                      <w:rFonts w:hint="eastAsia" w:ascii="Times New Roman" w:hAnsi="Times New Roman"/>
                      <w:color w:val="auto"/>
                      <w:sz w:val="21"/>
                      <w:szCs w:val="21"/>
                      <w:lang w:val="en-US" w:eastAsia="zh-CN"/>
                    </w:rPr>
                    <w:t>2 燃油锅炉</w:t>
                  </w:r>
                </w:p>
                <w:p w14:paraId="7044310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lang w:val="en-US" w:eastAsia="zh-CN"/>
                    </w:rPr>
                  </w:pPr>
                  <w:r>
                    <w:rPr>
                      <w:rFonts w:hint="eastAsia"/>
                      <w:color w:val="auto"/>
                      <w:sz w:val="21"/>
                      <w:szCs w:val="21"/>
                    </w:rPr>
                    <w:t>《</w:t>
                  </w:r>
                  <w:r>
                    <w:rPr>
                      <w:rFonts w:hint="eastAsia"/>
                      <w:color w:val="auto"/>
                      <w:sz w:val="21"/>
                      <w:szCs w:val="21"/>
                      <w:lang w:val="en-US" w:eastAsia="zh-CN"/>
                    </w:rPr>
                    <w:t>四川省固定污染源大气挥发性有机物排放标准</w:t>
                  </w:r>
                  <w:r>
                    <w:rPr>
                      <w:rFonts w:hint="eastAsia"/>
                      <w:color w:val="auto"/>
                      <w:sz w:val="21"/>
                      <w:szCs w:val="21"/>
                    </w:rPr>
                    <w:t>》</w:t>
                  </w:r>
                  <w:r>
                    <w:rPr>
                      <w:rFonts w:hint="eastAsia"/>
                      <w:color w:val="auto"/>
                      <w:sz w:val="21"/>
                      <w:szCs w:val="21"/>
                      <w:lang w:val="en-US" w:eastAsia="zh-CN"/>
                    </w:rPr>
                    <w:t xml:space="preserve">DB 51/2377- 2017 </w:t>
                  </w:r>
                </w:p>
                <w:p w14:paraId="7BFB5F2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color w:val="auto"/>
                      <w:sz w:val="21"/>
                      <w:szCs w:val="21"/>
                      <w:lang w:val="en-US" w:eastAsia="zh-CN"/>
                    </w:rPr>
                    <w:t>表3</w:t>
                  </w:r>
                </w:p>
              </w:tc>
            </w:tr>
            <w:tr w14:paraId="3DFD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637" w:type="dxa"/>
                  <w:vMerge w:val="continue"/>
                  <w:noWrap w:val="0"/>
                  <w:vAlign w:val="center"/>
                </w:tcPr>
                <w:p w14:paraId="7A164232">
                  <w:pPr>
                    <w:ind w:firstLine="0" w:firstLineChars="0"/>
                    <w:jc w:val="center"/>
                    <w:rPr>
                      <w:rFonts w:hint="default" w:ascii="Times New Roman" w:hAnsi="Times New Roman" w:eastAsia="宋体" w:cs="Times New Roman"/>
                      <w:sz w:val="21"/>
                      <w:szCs w:val="21"/>
                    </w:rPr>
                  </w:pPr>
                </w:p>
              </w:tc>
              <w:tc>
                <w:tcPr>
                  <w:tcW w:w="1138" w:type="dxa"/>
                  <w:vMerge w:val="restart"/>
                  <w:noWrap w:val="0"/>
                  <w:vAlign w:val="center"/>
                </w:tcPr>
                <w:p w14:paraId="74088179">
                  <w:pPr>
                    <w:ind w:firstLine="0" w:firstLineChars="0"/>
                    <w:jc w:val="center"/>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sz w:val="21"/>
                      <w:szCs w:val="21"/>
                    </w:rPr>
                    <w:t>项目</w:t>
                  </w:r>
                </w:p>
              </w:tc>
              <w:tc>
                <w:tcPr>
                  <w:tcW w:w="2370" w:type="dxa"/>
                  <w:gridSpan w:val="3"/>
                  <w:noWrap w:val="0"/>
                  <w:vAlign w:val="center"/>
                </w:tcPr>
                <w:p w14:paraId="69F51F5D">
                  <w:pPr>
                    <w:spacing w:line="240" w:lineRule="auto"/>
                    <w:ind w:firstLine="0" w:firstLineChars="0"/>
                    <w:jc w:val="center"/>
                    <w:rPr>
                      <w:rFonts w:hint="eastAsia"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color w:val="auto"/>
                      <w:sz w:val="21"/>
                      <w:szCs w:val="21"/>
                    </w:rPr>
                    <w:t>标准限值</w:t>
                  </w:r>
                </w:p>
              </w:tc>
              <w:tc>
                <w:tcPr>
                  <w:tcW w:w="1095" w:type="dxa"/>
                  <w:vMerge w:val="restart"/>
                  <w:noWrap w:val="0"/>
                  <w:vAlign w:val="center"/>
                </w:tcPr>
                <w:p w14:paraId="1189EADE">
                  <w:pPr>
                    <w:ind w:firstLine="0" w:firstLineChars="0"/>
                    <w:jc w:val="center"/>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sz w:val="21"/>
                      <w:szCs w:val="21"/>
                    </w:rPr>
                    <w:t>项目</w:t>
                  </w:r>
                </w:p>
              </w:tc>
              <w:tc>
                <w:tcPr>
                  <w:tcW w:w="2483" w:type="dxa"/>
                  <w:gridSpan w:val="3"/>
                  <w:noWrap w:val="0"/>
                  <w:vAlign w:val="center"/>
                </w:tcPr>
                <w:p w14:paraId="70FFBF60">
                  <w:pPr>
                    <w:spacing w:line="240" w:lineRule="auto"/>
                    <w:ind w:firstLine="0" w:firstLineChars="0"/>
                    <w:jc w:val="center"/>
                    <w:rPr>
                      <w:rFonts w:hint="eastAsia"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color w:val="auto"/>
                      <w:sz w:val="21"/>
                      <w:szCs w:val="21"/>
                    </w:rPr>
                    <w:t>标准限值</w:t>
                  </w:r>
                </w:p>
              </w:tc>
            </w:tr>
            <w:tr w14:paraId="0367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637" w:type="dxa"/>
                  <w:vMerge w:val="continue"/>
                  <w:noWrap w:val="0"/>
                  <w:vAlign w:val="center"/>
                </w:tcPr>
                <w:p w14:paraId="621B9637">
                  <w:pPr>
                    <w:ind w:firstLine="0" w:firstLineChars="0"/>
                    <w:jc w:val="center"/>
                    <w:rPr>
                      <w:rFonts w:hint="default" w:ascii="Times New Roman" w:hAnsi="Times New Roman" w:eastAsia="宋体" w:cs="Times New Roman"/>
                      <w:sz w:val="21"/>
                      <w:szCs w:val="21"/>
                    </w:rPr>
                  </w:pPr>
                </w:p>
              </w:tc>
              <w:tc>
                <w:tcPr>
                  <w:tcW w:w="1138" w:type="dxa"/>
                  <w:vMerge w:val="continue"/>
                  <w:noWrap w:val="0"/>
                  <w:vAlign w:val="center"/>
                </w:tcPr>
                <w:p w14:paraId="364FEBEC">
                  <w:pPr>
                    <w:ind w:firstLine="0" w:firstLineChars="0"/>
                    <w:jc w:val="center"/>
                    <w:rPr>
                      <w:rFonts w:hint="default" w:ascii="Times New Roman" w:hAnsi="Times New Roman" w:eastAsia="宋体" w:cs="Times New Roman"/>
                      <w:sz w:val="21"/>
                      <w:szCs w:val="21"/>
                    </w:rPr>
                  </w:pPr>
                </w:p>
              </w:tc>
              <w:tc>
                <w:tcPr>
                  <w:tcW w:w="1214" w:type="dxa"/>
                  <w:shd w:val="clear" w:color="auto" w:fill="auto"/>
                  <w:noWrap w:val="0"/>
                  <w:vAlign w:val="center"/>
                </w:tcPr>
                <w:p w14:paraId="349221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000000"/>
                      <w:sz w:val="21"/>
                      <w:szCs w:val="21"/>
                      <w:lang w:val="en-US" w:eastAsia="zh-CN"/>
                    </w:rPr>
                    <w:t>浓度</w:t>
                  </w:r>
                  <w:r>
                    <w:rPr>
                      <w:rFonts w:hint="default" w:ascii="Times New Roman" w:hAnsi="Times New Roman" w:cs="Times New Roman"/>
                      <w:color w:val="000000"/>
                      <w:sz w:val="21"/>
                      <w:szCs w:val="21"/>
                      <w:lang w:val="en-US" w:eastAsia="zh-CN"/>
                    </w:rPr>
                    <w:t>（</w:t>
                  </w:r>
                  <w:r>
                    <w:rPr>
                      <w:rFonts w:hint="default" w:ascii="Times New Roman" w:hAnsi="Times New Roman" w:cs="Times New Roman"/>
                      <w:color w:val="000000"/>
                      <w:spacing w:val="-4"/>
                      <w:sz w:val="21"/>
                      <w:szCs w:val="21"/>
                    </w:rPr>
                    <w:t>mg/</w:t>
                  </w:r>
                  <w:r>
                    <w:rPr>
                      <w:rFonts w:hint="default" w:ascii="Times New Roman" w:hAnsi="Times New Roman" w:cs="Times New Roman"/>
                      <w:color w:val="000000"/>
                      <w:spacing w:val="-4"/>
                      <w:sz w:val="21"/>
                      <w:szCs w:val="21"/>
                      <w:lang w:val="en-US" w:eastAsia="zh-CN"/>
                    </w:rPr>
                    <w:t>m³</w:t>
                  </w:r>
                  <w:r>
                    <w:rPr>
                      <w:rFonts w:hint="default" w:ascii="Times New Roman" w:hAnsi="Times New Roman" w:cs="Times New Roman"/>
                      <w:color w:val="000000"/>
                      <w:sz w:val="21"/>
                      <w:szCs w:val="21"/>
                      <w:lang w:val="en-US" w:eastAsia="zh-CN"/>
                    </w:rPr>
                    <w:t>）</w:t>
                  </w:r>
                </w:p>
              </w:tc>
              <w:tc>
                <w:tcPr>
                  <w:tcW w:w="1156" w:type="dxa"/>
                  <w:gridSpan w:val="2"/>
                  <w:shd w:val="clear" w:color="auto" w:fill="auto"/>
                  <w:noWrap w:val="0"/>
                  <w:vAlign w:val="center"/>
                </w:tcPr>
                <w:p w14:paraId="23F3748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color w:val="000000"/>
                      <w:sz w:val="21"/>
                      <w:szCs w:val="21"/>
                      <w:lang w:val="en-US" w:eastAsia="zh-CN"/>
                    </w:rPr>
                    <w:t>排放速率（kg/h）</w:t>
                  </w:r>
                </w:p>
              </w:tc>
              <w:tc>
                <w:tcPr>
                  <w:tcW w:w="1095" w:type="dxa"/>
                  <w:vMerge w:val="continue"/>
                  <w:noWrap w:val="0"/>
                  <w:vAlign w:val="center"/>
                </w:tcPr>
                <w:p w14:paraId="2FDAEF63">
                  <w:pPr>
                    <w:ind w:firstLine="0" w:firstLineChars="0"/>
                    <w:jc w:val="center"/>
                    <w:rPr>
                      <w:rFonts w:hint="default" w:ascii="Times New Roman" w:hAnsi="Times New Roman" w:eastAsia="宋体" w:cs="Times New Roman"/>
                      <w:sz w:val="21"/>
                      <w:szCs w:val="21"/>
                    </w:rPr>
                  </w:pPr>
                </w:p>
              </w:tc>
              <w:tc>
                <w:tcPr>
                  <w:tcW w:w="1237" w:type="dxa"/>
                  <w:noWrap w:val="0"/>
                  <w:vAlign w:val="center"/>
                </w:tcPr>
                <w:p w14:paraId="53F364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ascii="Times New Roman" w:hAnsi="Times New Roman" w:cs="Times New Roman"/>
                      <w:color w:val="000000"/>
                      <w:sz w:val="21"/>
                      <w:szCs w:val="21"/>
                      <w:lang w:val="en-US" w:eastAsia="zh-CN"/>
                    </w:rPr>
                    <w:t>浓度</w:t>
                  </w:r>
                  <w:r>
                    <w:rPr>
                      <w:rFonts w:hint="default" w:ascii="Times New Roman" w:hAnsi="Times New Roman" w:cs="Times New Roman"/>
                      <w:color w:val="000000"/>
                      <w:sz w:val="21"/>
                      <w:szCs w:val="21"/>
                      <w:lang w:val="en-US" w:eastAsia="zh-CN"/>
                    </w:rPr>
                    <w:t>（</w:t>
                  </w:r>
                  <w:r>
                    <w:rPr>
                      <w:rFonts w:hint="default" w:ascii="Times New Roman" w:hAnsi="Times New Roman" w:cs="Times New Roman"/>
                      <w:color w:val="000000"/>
                      <w:spacing w:val="-4"/>
                      <w:sz w:val="21"/>
                      <w:szCs w:val="21"/>
                    </w:rPr>
                    <w:t>mg/</w:t>
                  </w:r>
                  <w:r>
                    <w:rPr>
                      <w:rFonts w:hint="default" w:ascii="Times New Roman" w:hAnsi="Times New Roman" w:cs="Times New Roman"/>
                      <w:color w:val="000000"/>
                      <w:spacing w:val="-4"/>
                      <w:sz w:val="21"/>
                      <w:szCs w:val="21"/>
                      <w:lang w:val="en-US" w:eastAsia="zh-CN"/>
                    </w:rPr>
                    <w:t>m³</w:t>
                  </w:r>
                  <w:r>
                    <w:rPr>
                      <w:rFonts w:hint="default" w:ascii="Times New Roman" w:hAnsi="Times New Roman" w:cs="Times New Roman"/>
                      <w:color w:val="000000"/>
                      <w:sz w:val="21"/>
                      <w:szCs w:val="21"/>
                      <w:lang w:val="en-US" w:eastAsia="zh-CN"/>
                    </w:rPr>
                    <w:t>）</w:t>
                  </w:r>
                </w:p>
              </w:tc>
              <w:tc>
                <w:tcPr>
                  <w:tcW w:w="1246" w:type="dxa"/>
                  <w:gridSpan w:val="2"/>
                  <w:noWrap w:val="0"/>
                  <w:vAlign w:val="center"/>
                </w:tcPr>
                <w:p w14:paraId="01B561F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ascii="Times New Roman" w:hAnsi="Times New Roman" w:cs="Times New Roman"/>
                      <w:color w:val="000000"/>
                      <w:sz w:val="21"/>
                      <w:szCs w:val="21"/>
                      <w:lang w:val="en-US" w:eastAsia="zh-CN"/>
                    </w:rPr>
                    <w:t>排放速率（kg/h）</w:t>
                  </w:r>
                </w:p>
              </w:tc>
            </w:tr>
            <w:tr w14:paraId="67F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1972AFC7">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4715A2F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ascii="Times New Roman" w:hAnsi="Times New Roman"/>
                      <w:color w:val="000000"/>
                      <w:sz w:val="21"/>
                      <w:szCs w:val="21"/>
                      <w:lang w:val="en-US" w:eastAsia="zh-CN"/>
                    </w:rPr>
                    <w:t>硫化氢</w:t>
                  </w:r>
                </w:p>
              </w:tc>
              <w:tc>
                <w:tcPr>
                  <w:tcW w:w="1214" w:type="dxa"/>
                  <w:noWrap w:val="0"/>
                  <w:vAlign w:val="center"/>
                </w:tcPr>
                <w:p w14:paraId="4FBE227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w:t>
                  </w:r>
                </w:p>
              </w:tc>
              <w:tc>
                <w:tcPr>
                  <w:tcW w:w="1156" w:type="dxa"/>
                  <w:gridSpan w:val="2"/>
                  <w:noWrap w:val="0"/>
                  <w:vAlign w:val="center"/>
                </w:tcPr>
                <w:p w14:paraId="36A97CE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0.33</w:t>
                  </w:r>
                </w:p>
              </w:tc>
              <w:tc>
                <w:tcPr>
                  <w:tcW w:w="1095" w:type="dxa"/>
                  <w:noWrap w:val="0"/>
                  <w:vAlign w:val="center"/>
                </w:tcPr>
                <w:p w14:paraId="6479D4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ascii="Times New Roman" w:hAnsi="Times New Roman"/>
                      <w:color w:val="000000"/>
                      <w:sz w:val="21"/>
                      <w:szCs w:val="21"/>
                      <w:lang w:val="en-US" w:eastAsia="zh-CN"/>
                    </w:rPr>
                    <w:t>硫化氢</w:t>
                  </w:r>
                </w:p>
              </w:tc>
              <w:tc>
                <w:tcPr>
                  <w:tcW w:w="1237" w:type="dxa"/>
                  <w:noWrap w:val="0"/>
                  <w:vAlign w:val="center"/>
                </w:tcPr>
                <w:p w14:paraId="4B9C299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w:t>
                  </w:r>
                </w:p>
              </w:tc>
              <w:tc>
                <w:tcPr>
                  <w:tcW w:w="1246" w:type="dxa"/>
                  <w:gridSpan w:val="2"/>
                  <w:noWrap w:val="0"/>
                  <w:vAlign w:val="center"/>
                </w:tcPr>
                <w:p w14:paraId="619501D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0.33</w:t>
                  </w:r>
                </w:p>
              </w:tc>
            </w:tr>
            <w:tr w14:paraId="45A4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37" w:type="dxa"/>
                  <w:vMerge w:val="continue"/>
                  <w:noWrap w:val="0"/>
                  <w:vAlign w:val="center"/>
                </w:tcPr>
                <w:p w14:paraId="04C95095">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5A0DF79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eastAsia="宋体"/>
                      <w:b w:val="0"/>
                      <w:bCs/>
                      <w:color w:val="000000"/>
                      <w:sz w:val="21"/>
                      <w:szCs w:val="21"/>
                      <w:vertAlign w:val="baseline"/>
                      <w:lang w:val="en-US" w:eastAsia="zh-CN"/>
                    </w:rPr>
                    <w:t>氨</w:t>
                  </w:r>
                </w:p>
              </w:tc>
              <w:tc>
                <w:tcPr>
                  <w:tcW w:w="1214" w:type="dxa"/>
                  <w:noWrap w:val="0"/>
                  <w:vAlign w:val="center"/>
                </w:tcPr>
                <w:p w14:paraId="3F81C75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w:t>
                  </w:r>
                </w:p>
              </w:tc>
              <w:tc>
                <w:tcPr>
                  <w:tcW w:w="1156" w:type="dxa"/>
                  <w:gridSpan w:val="2"/>
                  <w:noWrap w:val="0"/>
                  <w:vAlign w:val="center"/>
                </w:tcPr>
                <w:p w14:paraId="5BC60EA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4.9</w:t>
                  </w:r>
                </w:p>
              </w:tc>
              <w:tc>
                <w:tcPr>
                  <w:tcW w:w="1095" w:type="dxa"/>
                  <w:noWrap w:val="0"/>
                  <w:vAlign w:val="center"/>
                </w:tcPr>
                <w:p w14:paraId="52D2B55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eastAsia="宋体"/>
                      <w:b w:val="0"/>
                      <w:bCs/>
                      <w:color w:val="000000"/>
                      <w:sz w:val="21"/>
                      <w:szCs w:val="21"/>
                      <w:vertAlign w:val="baseline"/>
                      <w:lang w:val="en-US" w:eastAsia="zh-CN"/>
                    </w:rPr>
                    <w:t>氨</w:t>
                  </w:r>
                </w:p>
              </w:tc>
              <w:tc>
                <w:tcPr>
                  <w:tcW w:w="1237" w:type="dxa"/>
                  <w:noWrap w:val="0"/>
                  <w:vAlign w:val="center"/>
                </w:tcPr>
                <w:p w14:paraId="1D8ABD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w:t>
                  </w:r>
                </w:p>
              </w:tc>
              <w:tc>
                <w:tcPr>
                  <w:tcW w:w="1246" w:type="dxa"/>
                  <w:gridSpan w:val="2"/>
                  <w:noWrap w:val="0"/>
                  <w:vAlign w:val="center"/>
                </w:tcPr>
                <w:p w14:paraId="2699BA7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000000"/>
                      <w:position w:val="6"/>
                      <w:sz w:val="21"/>
                      <w:szCs w:val="21"/>
                      <w:lang w:val="en-US" w:eastAsia="zh-CN"/>
                    </w:rPr>
                    <w:t>4.9</w:t>
                  </w:r>
                </w:p>
              </w:tc>
            </w:tr>
            <w:tr w14:paraId="31CC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7CAD29EE">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4C175C8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b w:val="0"/>
                      <w:bCs/>
                      <w:color w:val="000000"/>
                      <w:sz w:val="21"/>
                      <w:szCs w:val="21"/>
                      <w:vertAlign w:val="baseline"/>
                      <w:lang w:val="en-US" w:eastAsia="zh-CN"/>
                    </w:rPr>
                    <w:t>臭气浓度</w:t>
                  </w:r>
                </w:p>
              </w:tc>
              <w:tc>
                <w:tcPr>
                  <w:tcW w:w="1214" w:type="dxa"/>
                  <w:noWrap w:val="0"/>
                  <w:vAlign w:val="center"/>
                </w:tcPr>
                <w:p w14:paraId="1715BE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position w:val="6"/>
                      <w:sz w:val="21"/>
                      <w:szCs w:val="21"/>
                      <w:lang w:val="en-US" w:eastAsia="zh-CN"/>
                    </w:rPr>
                  </w:pPr>
                  <w:r>
                    <w:rPr>
                      <w:rFonts w:hint="eastAsia" w:ascii="Times New Roman" w:hAnsi="Times New Roman" w:eastAsia="宋体" w:cs="Times New Roman"/>
                      <w:color w:val="000000"/>
                      <w:position w:val="6"/>
                      <w:sz w:val="21"/>
                      <w:szCs w:val="21"/>
                      <w:lang w:val="en-US" w:eastAsia="zh-CN"/>
                    </w:rPr>
                    <w:t>2000</w:t>
                  </w:r>
                </w:p>
                <w:p w14:paraId="542E640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sz w:val="21"/>
                      <w:szCs w:val="21"/>
                      <w:lang w:val="en-US" w:eastAsia="zh-CN"/>
                    </w:rPr>
                    <w:t>（无量纲）</w:t>
                  </w:r>
                </w:p>
              </w:tc>
              <w:tc>
                <w:tcPr>
                  <w:tcW w:w="1156" w:type="dxa"/>
                  <w:gridSpan w:val="2"/>
                  <w:noWrap w:val="0"/>
                  <w:vAlign w:val="center"/>
                </w:tcPr>
                <w:p w14:paraId="53DB154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000000"/>
                      <w:position w:val="6"/>
                      <w:sz w:val="21"/>
                      <w:szCs w:val="21"/>
                      <w:lang w:val="en-US" w:eastAsia="zh-CN"/>
                    </w:rPr>
                    <w:t>/</w:t>
                  </w:r>
                </w:p>
              </w:tc>
              <w:tc>
                <w:tcPr>
                  <w:tcW w:w="1095" w:type="dxa"/>
                  <w:noWrap w:val="0"/>
                  <w:vAlign w:val="center"/>
                </w:tcPr>
                <w:p w14:paraId="6C1F31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b w:val="0"/>
                      <w:bCs/>
                      <w:color w:val="000000"/>
                      <w:sz w:val="21"/>
                      <w:szCs w:val="21"/>
                      <w:vertAlign w:val="baseline"/>
                      <w:lang w:val="en-US" w:eastAsia="zh-CN"/>
                    </w:rPr>
                    <w:t>臭气浓度</w:t>
                  </w:r>
                </w:p>
              </w:tc>
              <w:tc>
                <w:tcPr>
                  <w:tcW w:w="1237" w:type="dxa"/>
                  <w:noWrap w:val="0"/>
                  <w:vAlign w:val="center"/>
                </w:tcPr>
                <w:p w14:paraId="4BED4A2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position w:val="6"/>
                      <w:sz w:val="21"/>
                      <w:szCs w:val="21"/>
                      <w:lang w:val="en-US" w:eastAsia="zh-CN"/>
                    </w:rPr>
                  </w:pPr>
                  <w:r>
                    <w:rPr>
                      <w:rFonts w:hint="eastAsia" w:ascii="Times New Roman" w:hAnsi="Times New Roman" w:eastAsia="宋体" w:cs="Times New Roman"/>
                      <w:color w:val="000000"/>
                      <w:position w:val="6"/>
                      <w:sz w:val="21"/>
                      <w:szCs w:val="21"/>
                      <w:lang w:val="en-US" w:eastAsia="zh-CN"/>
                    </w:rPr>
                    <w:t>2000</w:t>
                  </w:r>
                </w:p>
                <w:p w14:paraId="0D8553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sz w:val="21"/>
                      <w:szCs w:val="21"/>
                      <w:lang w:val="en-US" w:eastAsia="zh-CN"/>
                    </w:rPr>
                    <w:t>（无量纲）</w:t>
                  </w:r>
                </w:p>
              </w:tc>
              <w:tc>
                <w:tcPr>
                  <w:tcW w:w="1246" w:type="dxa"/>
                  <w:gridSpan w:val="2"/>
                  <w:noWrap w:val="0"/>
                  <w:vAlign w:val="center"/>
                </w:tcPr>
                <w:p w14:paraId="55DDA4B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000000"/>
                      <w:position w:val="6"/>
                      <w:sz w:val="21"/>
                      <w:szCs w:val="21"/>
                      <w:lang w:val="en-US" w:eastAsia="zh-CN"/>
                    </w:rPr>
                    <w:t>/</w:t>
                  </w:r>
                </w:p>
              </w:tc>
            </w:tr>
            <w:tr w14:paraId="5294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498DD4AB">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64B358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b w:val="0"/>
                      <w:bCs/>
                      <w:color w:val="000000"/>
                      <w:sz w:val="21"/>
                      <w:szCs w:val="21"/>
                      <w:vertAlign w:val="baseline"/>
                      <w:lang w:val="en-US" w:eastAsia="zh-CN"/>
                    </w:rPr>
                    <w:t>VOCs</w:t>
                  </w:r>
                </w:p>
              </w:tc>
              <w:tc>
                <w:tcPr>
                  <w:tcW w:w="1214" w:type="dxa"/>
                  <w:noWrap w:val="0"/>
                  <w:vAlign w:val="center"/>
                </w:tcPr>
                <w:p w14:paraId="4AE471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000000"/>
                      <w:position w:val="6"/>
                      <w:sz w:val="21"/>
                      <w:szCs w:val="21"/>
                      <w:lang w:val="en-US" w:eastAsia="zh-CN"/>
                    </w:rPr>
                    <w:t>60</w:t>
                  </w:r>
                </w:p>
              </w:tc>
              <w:tc>
                <w:tcPr>
                  <w:tcW w:w="1156" w:type="dxa"/>
                  <w:gridSpan w:val="2"/>
                  <w:noWrap w:val="0"/>
                  <w:vAlign w:val="center"/>
                </w:tcPr>
                <w:p w14:paraId="732AF3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000000"/>
                      <w:position w:val="6"/>
                      <w:sz w:val="21"/>
                      <w:szCs w:val="21"/>
                      <w:lang w:val="en-US" w:eastAsia="zh-CN"/>
                    </w:rPr>
                    <w:t>3.4</w:t>
                  </w:r>
                </w:p>
              </w:tc>
              <w:tc>
                <w:tcPr>
                  <w:tcW w:w="1095" w:type="dxa"/>
                  <w:noWrap w:val="0"/>
                  <w:vAlign w:val="center"/>
                </w:tcPr>
                <w:p w14:paraId="1214DF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b w:val="0"/>
                      <w:bCs/>
                      <w:color w:val="000000"/>
                      <w:sz w:val="21"/>
                      <w:szCs w:val="21"/>
                      <w:vertAlign w:val="baseline"/>
                      <w:lang w:val="en-US" w:eastAsia="zh-CN"/>
                    </w:rPr>
                    <w:t>VOCs</w:t>
                  </w:r>
                </w:p>
              </w:tc>
              <w:tc>
                <w:tcPr>
                  <w:tcW w:w="1237" w:type="dxa"/>
                  <w:noWrap w:val="0"/>
                  <w:vAlign w:val="center"/>
                </w:tcPr>
                <w:p w14:paraId="5BE8817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000000"/>
                      <w:position w:val="6"/>
                      <w:sz w:val="21"/>
                      <w:szCs w:val="21"/>
                      <w:lang w:val="en-US" w:eastAsia="zh-CN"/>
                    </w:rPr>
                    <w:t>60</w:t>
                  </w:r>
                </w:p>
              </w:tc>
              <w:tc>
                <w:tcPr>
                  <w:tcW w:w="1246" w:type="dxa"/>
                  <w:gridSpan w:val="2"/>
                  <w:noWrap w:val="0"/>
                  <w:vAlign w:val="center"/>
                </w:tcPr>
                <w:p w14:paraId="58C682E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000000"/>
                      <w:position w:val="6"/>
                      <w:sz w:val="21"/>
                      <w:szCs w:val="21"/>
                      <w:lang w:val="en-US" w:eastAsia="zh-CN"/>
                    </w:rPr>
                    <w:t>3.4</w:t>
                  </w:r>
                </w:p>
              </w:tc>
            </w:tr>
            <w:tr w14:paraId="5F8E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37" w:type="dxa"/>
                  <w:vMerge w:val="continue"/>
                  <w:noWrap w:val="0"/>
                  <w:vAlign w:val="center"/>
                </w:tcPr>
                <w:p w14:paraId="45BA5FAA">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364497F3">
                  <w:pPr>
                    <w:jc w:val="center"/>
                    <w:rPr>
                      <w:rFonts w:hint="eastAsia" w:ascii="Times New Roman" w:hAnsi="Times New Roman" w:cs="Times New Roman"/>
                      <w:b w:val="0"/>
                      <w:bCs/>
                      <w:color w:val="000000"/>
                      <w:sz w:val="21"/>
                      <w:szCs w:val="21"/>
                      <w:vertAlign w:val="baseline"/>
                      <w:lang w:val="en-US" w:eastAsia="zh-CN"/>
                    </w:rPr>
                  </w:pPr>
                  <w:r>
                    <w:rPr>
                      <w:rFonts w:hint="eastAsia" w:eastAsia="宋体"/>
                      <w:color w:val="auto"/>
                      <w:sz w:val="21"/>
                      <w:szCs w:val="21"/>
                      <w:lang w:eastAsia="zh-CN"/>
                    </w:rPr>
                    <w:t>颗粒物</w:t>
                  </w:r>
                </w:p>
              </w:tc>
              <w:tc>
                <w:tcPr>
                  <w:tcW w:w="1219" w:type="dxa"/>
                  <w:gridSpan w:val="2"/>
                  <w:noWrap w:val="0"/>
                  <w:vAlign w:val="center"/>
                </w:tcPr>
                <w:p w14:paraId="26348E31">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30</w:t>
                  </w:r>
                </w:p>
              </w:tc>
              <w:tc>
                <w:tcPr>
                  <w:tcW w:w="1151" w:type="dxa"/>
                  <w:noWrap w:val="0"/>
                  <w:vAlign w:val="center"/>
                </w:tcPr>
                <w:p w14:paraId="231B112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1095" w:type="dxa"/>
                  <w:noWrap w:val="0"/>
                  <w:vAlign w:val="center"/>
                </w:tcPr>
                <w:p w14:paraId="50B71189">
                  <w:pPr>
                    <w:jc w:val="center"/>
                    <w:rPr>
                      <w:rFonts w:hint="eastAsia" w:ascii="Times New Roman" w:hAnsi="Times New Roman" w:cs="Times New Roman"/>
                      <w:b w:val="0"/>
                      <w:bCs/>
                      <w:color w:val="000000"/>
                      <w:sz w:val="21"/>
                      <w:szCs w:val="21"/>
                      <w:vertAlign w:val="baseline"/>
                      <w:lang w:val="en-US" w:eastAsia="zh-CN"/>
                    </w:rPr>
                  </w:pPr>
                  <w:r>
                    <w:rPr>
                      <w:rFonts w:hint="eastAsia" w:eastAsia="宋体"/>
                      <w:color w:val="auto"/>
                      <w:sz w:val="21"/>
                      <w:szCs w:val="21"/>
                      <w:lang w:eastAsia="zh-CN"/>
                    </w:rPr>
                    <w:t>颗粒物</w:t>
                  </w:r>
                </w:p>
              </w:tc>
              <w:tc>
                <w:tcPr>
                  <w:tcW w:w="1242" w:type="dxa"/>
                  <w:gridSpan w:val="2"/>
                  <w:noWrap w:val="0"/>
                  <w:vAlign w:val="center"/>
                </w:tcPr>
                <w:p w14:paraId="280F2CD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30</w:t>
                  </w:r>
                </w:p>
              </w:tc>
              <w:tc>
                <w:tcPr>
                  <w:tcW w:w="1241" w:type="dxa"/>
                  <w:noWrap w:val="0"/>
                  <w:vAlign w:val="center"/>
                </w:tcPr>
                <w:p w14:paraId="37931F4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r>
            <w:tr w14:paraId="0A8C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37" w:type="dxa"/>
                  <w:vMerge w:val="continue"/>
                  <w:noWrap w:val="0"/>
                  <w:vAlign w:val="center"/>
                </w:tcPr>
                <w:p w14:paraId="7B370B01">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68D1BFBA">
                  <w:pPr>
                    <w:jc w:val="center"/>
                    <w:rPr>
                      <w:rFonts w:hint="default" w:ascii="Times New Roman" w:hAnsi="Times New Roman" w:cs="Times New Roman"/>
                      <w:b w:val="0"/>
                      <w:bCs/>
                      <w:color w:val="000000"/>
                      <w:sz w:val="21"/>
                      <w:szCs w:val="21"/>
                      <w:vertAlign w:val="baseline"/>
                      <w:lang w:val="en-US" w:eastAsia="zh-CN"/>
                    </w:rPr>
                  </w:pPr>
                  <w:r>
                    <w:rPr>
                      <w:color w:val="auto"/>
                      <w:sz w:val="21"/>
                      <w:szCs w:val="21"/>
                    </w:rPr>
                    <w:t>二氧化硫</w:t>
                  </w:r>
                </w:p>
              </w:tc>
              <w:tc>
                <w:tcPr>
                  <w:tcW w:w="1219" w:type="dxa"/>
                  <w:gridSpan w:val="2"/>
                  <w:noWrap w:val="0"/>
                  <w:vAlign w:val="center"/>
                </w:tcPr>
                <w:p w14:paraId="6A309A0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200</w:t>
                  </w:r>
                </w:p>
              </w:tc>
              <w:tc>
                <w:tcPr>
                  <w:tcW w:w="1151" w:type="dxa"/>
                  <w:noWrap w:val="0"/>
                  <w:vAlign w:val="center"/>
                </w:tcPr>
                <w:p w14:paraId="191F647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1095" w:type="dxa"/>
                  <w:noWrap w:val="0"/>
                  <w:vAlign w:val="center"/>
                </w:tcPr>
                <w:p w14:paraId="3D6341AC">
                  <w:pPr>
                    <w:jc w:val="center"/>
                    <w:rPr>
                      <w:rFonts w:hint="default" w:ascii="Times New Roman" w:hAnsi="Times New Roman" w:cs="Times New Roman"/>
                      <w:b w:val="0"/>
                      <w:bCs/>
                      <w:color w:val="000000"/>
                      <w:sz w:val="21"/>
                      <w:szCs w:val="21"/>
                      <w:vertAlign w:val="baseline"/>
                      <w:lang w:val="en-US" w:eastAsia="zh-CN"/>
                    </w:rPr>
                  </w:pPr>
                  <w:r>
                    <w:rPr>
                      <w:color w:val="auto"/>
                      <w:sz w:val="21"/>
                      <w:szCs w:val="21"/>
                    </w:rPr>
                    <w:t>二氧化硫</w:t>
                  </w:r>
                </w:p>
              </w:tc>
              <w:tc>
                <w:tcPr>
                  <w:tcW w:w="1242" w:type="dxa"/>
                  <w:gridSpan w:val="2"/>
                  <w:noWrap w:val="0"/>
                  <w:vAlign w:val="center"/>
                </w:tcPr>
                <w:p w14:paraId="01459BBC">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200</w:t>
                  </w:r>
                </w:p>
              </w:tc>
              <w:tc>
                <w:tcPr>
                  <w:tcW w:w="1241" w:type="dxa"/>
                  <w:noWrap w:val="0"/>
                  <w:vAlign w:val="center"/>
                </w:tcPr>
                <w:p w14:paraId="6D4F814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r>
            <w:tr w14:paraId="70F5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37" w:type="dxa"/>
                  <w:vMerge w:val="continue"/>
                  <w:noWrap w:val="0"/>
                  <w:vAlign w:val="center"/>
                </w:tcPr>
                <w:p w14:paraId="1CFBF6CC">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06FBCC45">
                  <w:pPr>
                    <w:jc w:val="center"/>
                    <w:rPr>
                      <w:rFonts w:hint="default" w:ascii="Times New Roman" w:hAnsi="Times New Roman" w:cs="Times New Roman"/>
                      <w:b w:val="0"/>
                      <w:bCs/>
                      <w:color w:val="000000"/>
                      <w:sz w:val="21"/>
                      <w:szCs w:val="21"/>
                      <w:vertAlign w:val="baseline"/>
                      <w:lang w:val="en-US" w:eastAsia="zh-CN"/>
                    </w:rPr>
                  </w:pPr>
                  <w:r>
                    <w:rPr>
                      <w:rFonts w:hint="eastAsia" w:eastAsia="宋体"/>
                      <w:color w:val="auto"/>
                      <w:sz w:val="21"/>
                      <w:szCs w:val="21"/>
                      <w:lang w:eastAsia="zh-CN"/>
                    </w:rPr>
                    <w:t>氮氧化物</w:t>
                  </w:r>
                </w:p>
              </w:tc>
              <w:tc>
                <w:tcPr>
                  <w:tcW w:w="1219" w:type="dxa"/>
                  <w:gridSpan w:val="2"/>
                  <w:noWrap w:val="0"/>
                  <w:vAlign w:val="center"/>
                </w:tcPr>
                <w:p w14:paraId="25D5B5B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250</w:t>
                  </w:r>
                </w:p>
              </w:tc>
              <w:tc>
                <w:tcPr>
                  <w:tcW w:w="1151" w:type="dxa"/>
                  <w:noWrap w:val="0"/>
                  <w:vAlign w:val="center"/>
                </w:tcPr>
                <w:p w14:paraId="5B08FF4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1095" w:type="dxa"/>
                  <w:noWrap w:val="0"/>
                  <w:vAlign w:val="center"/>
                </w:tcPr>
                <w:p w14:paraId="1471260D">
                  <w:pPr>
                    <w:jc w:val="center"/>
                    <w:rPr>
                      <w:rFonts w:hint="default" w:ascii="Times New Roman" w:hAnsi="Times New Roman" w:cs="Times New Roman"/>
                      <w:b w:val="0"/>
                      <w:bCs/>
                      <w:color w:val="000000"/>
                      <w:sz w:val="21"/>
                      <w:szCs w:val="21"/>
                      <w:vertAlign w:val="baseline"/>
                      <w:lang w:val="en-US" w:eastAsia="zh-CN"/>
                    </w:rPr>
                  </w:pPr>
                  <w:r>
                    <w:rPr>
                      <w:rFonts w:hint="eastAsia" w:eastAsia="宋体"/>
                      <w:color w:val="auto"/>
                      <w:sz w:val="21"/>
                      <w:szCs w:val="21"/>
                      <w:lang w:eastAsia="zh-CN"/>
                    </w:rPr>
                    <w:t>氮氧化物</w:t>
                  </w:r>
                </w:p>
              </w:tc>
              <w:tc>
                <w:tcPr>
                  <w:tcW w:w="1242" w:type="dxa"/>
                  <w:gridSpan w:val="2"/>
                  <w:noWrap w:val="0"/>
                  <w:vAlign w:val="center"/>
                </w:tcPr>
                <w:p w14:paraId="27FC5A23">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250</w:t>
                  </w:r>
                </w:p>
              </w:tc>
              <w:tc>
                <w:tcPr>
                  <w:tcW w:w="1241" w:type="dxa"/>
                  <w:noWrap w:val="0"/>
                  <w:vAlign w:val="center"/>
                </w:tcPr>
                <w:p w14:paraId="01D8201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r>
            <w:tr w14:paraId="1F61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49275D3F">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72F3A5CE">
                  <w:pPr>
                    <w:jc w:val="center"/>
                    <w:rPr>
                      <w:rFonts w:hint="default" w:ascii="Times New Roman" w:hAnsi="Times New Roman" w:cs="Times New Roman"/>
                      <w:b w:val="0"/>
                      <w:bCs/>
                      <w:color w:val="000000"/>
                      <w:sz w:val="21"/>
                      <w:szCs w:val="21"/>
                      <w:vertAlign w:val="baseline"/>
                      <w:lang w:val="en-US" w:eastAsia="zh-CN"/>
                    </w:rPr>
                  </w:pPr>
                  <w:r>
                    <w:rPr>
                      <w:rFonts w:hint="eastAsia" w:eastAsia="宋体"/>
                      <w:color w:val="auto"/>
                      <w:sz w:val="21"/>
                      <w:szCs w:val="21"/>
                      <w:lang w:val="en-US" w:eastAsia="zh-CN"/>
                    </w:rPr>
                    <w:t>烟气黑度</w:t>
                  </w:r>
                </w:p>
              </w:tc>
              <w:tc>
                <w:tcPr>
                  <w:tcW w:w="1219" w:type="dxa"/>
                  <w:gridSpan w:val="2"/>
                  <w:noWrap w:val="0"/>
                  <w:vAlign w:val="center"/>
                </w:tcPr>
                <w:p w14:paraId="5B9C009C">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≤1</w:t>
                  </w:r>
                </w:p>
              </w:tc>
              <w:tc>
                <w:tcPr>
                  <w:tcW w:w="1151" w:type="dxa"/>
                  <w:noWrap w:val="0"/>
                  <w:vAlign w:val="center"/>
                </w:tcPr>
                <w:p w14:paraId="4619741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1095" w:type="dxa"/>
                  <w:noWrap w:val="0"/>
                  <w:vAlign w:val="center"/>
                </w:tcPr>
                <w:p w14:paraId="77CBDEFE">
                  <w:pPr>
                    <w:jc w:val="center"/>
                    <w:rPr>
                      <w:rFonts w:hint="default" w:ascii="Times New Roman" w:hAnsi="Times New Roman" w:cs="Times New Roman"/>
                      <w:b w:val="0"/>
                      <w:bCs/>
                      <w:color w:val="000000"/>
                      <w:sz w:val="21"/>
                      <w:szCs w:val="21"/>
                      <w:vertAlign w:val="baseline"/>
                      <w:lang w:val="en-US" w:eastAsia="zh-CN"/>
                    </w:rPr>
                  </w:pPr>
                  <w:r>
                    <w:rPr>
                      <w:rFonts w:hint="eastAsia" w:eastAsia="宋体"/>
                      <w:color w:val="auto"/>
                      <w:sz w:val="21"/>
                      <w:szCs w:val="21"/>
                      <w:lang w:val="en-US" w:eastAsia="zh-CN"/>
                    </w:rPr>
                    <w:t>烟气黑度</w:t>
                  </w:r>
                </w:p>
              </w:tc>
              <w:tc>
                <w:tcPr>
                  <w:tcW w:w="1242" w:type="dxa"/>
                  <w:gridSpan w:val="2"/>
                  <w:noWrap w:val="0"/>
                  <w:vAlign w:val="center"/>
                </w:tcPr>
                <w:p w14:paraId="1B02AA80">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position w:val="6"/>
                      <w:sz w:val="21"/>
                      <w:szCs w:val="21"/>
                      <w:lang w:val="en-US" w:eastAsia="zh-CN"/>
                    </w:rPr>
                    <w:t>≤1</w:t>
                  </w:r>
                </w:p>
              </w:tc>
              <w:tc>
                <w:tcPr>
                  <w:tcW w:w="1241" w:type="dxa"/>
                  <w:noWrap w:val="0"/>
                  <w:vAlign w:val="center"/>
                </w:tcPr>
                <w:p w14:paraId="0F6C2E5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r>
            <w:tr w14:paraId="2EF7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restart"/>
                  <w:noWrap w:val="0"/>
                  <w:vAlign w:val="center"/>
                </w:tcPr>
                <w:p w14:paraId="7476A431">
                  <w:pPr>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w:t>
                  </w:r>
                </w:p>
              </w:tc>
              <w:tc>
                <w:tcPr>
                  <w:tcW w:w="1138" w:type="dxa"/>
                  <w:noWrap w:val="0"/>
                  <w:vAlign w:val="center"/>
                </w:tcPr>
                <w:p w14:paraId="702F8711">
                  <w:pPr>
                    <w:snapToGrid w:val="0"/>
                    <w:spacing w:line="240" w:lineRule="auto"/>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w:t>
                  </w:r>
                </w:p>
              </w:tc>
              <w:tc>
                <w:tcPr>
                  <w:tcW w:w="2370" w:type="dxa"/>
                  <w:gridSpan w:val="3"/>
                  <w:noWrap w:val="0"/>
                  <w:vAlign w:val="center"/>
                </w:tcPr>
                <w:p w14:paraId="2517AAF9">
                  <w:pPr>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《渗滤液处理厂接纳标准》（污水处理协议中废水接纳标准）</w:t>
                  </w:r>
                </w:p>
              </w:tc>
              <w:tc>
                <w:tcPr>
                  <w:tcW w:w="1095" w:type="dxa"/>
                  <w:noWrap w:val="0"/>
                  <w:vAlign w:val="center"/>
                </w:tcPr>
                <w:p w14:paraId="426A0CDE">
                  <w:pPr>
                    <w:snapToGrid w:val="0"/>
                    <w:spacing w:line="240" w:lineRule="auto"/>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w:t>
                  </w:r>
                </w:p>
              </w:tc>
              <w:tc>
                <w:tcPr>
                  <w:tcW w:w="2483" w:type="dxa"/>
                  <w:gridSpan w:val="3"/>
                  <w:noWrap w:val="0"/>
                  <w:vAlign w:val="center"/>
                </w:tcPr>
                <w:p w14:paraId="32E9E0AD">
                  <w:pPr>
                    <w:wordWrap w:val="0"/>
                    <w:spacing w:line="240" w:lineRule="auto"/>
                    <w:ind w:firstLine="0" w:firstLineChars="0"/>
                    <w:jc w:val="center"/>
                    <w:rPr>
                      <w:rFonts w:hint="default" w:ascii="Times New Roman" w:hAnsi="Times New Roman" w:eastAsia="宋体" w:cs="Times New Roman"/>
                      <w:color w:val="auto"/>
                      <w:kern w:val="2"/>
                      <w:sz w:val="20"/>
                      <w:szCs w:val="20"/>
                      <w:lang w:val="en-US" w:eastAsia="zh-CN" w:bidi="ar-SA"/>
                    </w:rPr>
                  </w:pPr>
                  <w:r>
                    <w:rPr>
                      <w:rFonts w:hint="eastAsia"/>
                      <w:color w:val="auto"/>
                      <w:sz w:val="21"/>
                      <w:szCs w:val="21"/>
                    </w:rPr>
                    <w:t>《</w:t>
                  </w:r>
                  <w:r>
                    <w:rPr>
                      <w:rFonts w:hint="eastAsia" w:ascii="Times New Roman" w:hAnsi="Times New Roman" w:cs="Times New Roman"/>
                      <w:color w:val="auto"/>
                      <w:sz w:val="21"/>
                      <w:szCs w:val="21"/>
                      <w:lang w:val="en-US" w:eastAsia="zh-CN"/>
                    </w:rPr>
                    <w:t>渗滤液处理厂接纳标准</w:t>
                  </w:r>
                  <w:r>
                    <w:rPr>
                      <w:rFonts w:hint="eastAsia"/>
                      <w:color w:val="auto"/>
                      <w:sz w:val="21"/>
                      <w:szCs w:val="21"/>
                    </w:rPr>
                    <w:t>》</w:t>
                  </w:r>
                  <w:r>
                    <w:rPr>
                      <w:rFonts w:hint="eastAsia" w:ascii="Times New Roman" w:hAnsi="Times New Roman" w:eastAsia="宋体" w:cs="Times New Roman"/>
                      <w:color w:val="auto"/>
                      <w:sz w:val="21"/>
                      <w:szCs w:val="21"/>
                      <w:lang w:val="en-US" w:eastAsia="zh-CN"/>
                    </w:rPr>
                    <w:t>（污水处理协议中废水接纳标准）</w:t>
                  </w:r>
                </w:p>
              </w:tc>
            </w:tr>
            <w:tr w14:paraId="6B39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5B052E18">
                  <w:pPr>
                    <w:ind w:firstLine="0" w:firstLineChars="0"/>
                    <w:jc w:val="center"/>
                    <w:rPr>
                      <w:rFonts w:hint="eastAsia" w:ascii="Times New Roman" w:hAnsi="Times New Roman" w:eastAsia="宋体" w:cs="Times New Roman"/>
                      <w:sz w:val="21"/>
                      <w:szCs w:val="21"/>
                      <w:lang w:val="en-US" w:eastAsia="zh-CN"/>
                    </w:rPr>
                  </w:pPr>
                </w:p>
              </w:tc>
              <w:tc>
                <w:tcPr>
                  <w:tcW w:w="1138" w:type="dxa"/>
                  <w:noWrap w:val="0"/>
                  <w:vAlign w:val="center"/>
                </w:tcPr>
                <w:p w14:paraId="0A0DF04D">
                  <w:pPr>
                    <w:ind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项目</w:t>
                  </w:r>
                </w:p>
              </w:tc>
              <w:tc>
                <w:tcPr>
                  <w:tcW w:w="2370" w:type="dxa"/>
                  <w:gridSpan w:val="3"/>
                  <w:noWrap w:val="0"/>
                  <w:vAlign w:val="center"/>
                </w:tcPr>
                <w:p w14:paraId="4BF686F7">
                  <w:pPr>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auto"/>
                      <w:sz w:val="21"/>
                      <w:szCs w:val="21"/>
                    </w:rPr>
                    <w:t>标准限值</w:t>
                  </w:r>
                </w:p>
              </w:tc>
              <w:tc>
                <w:tcPr>
                  <w:tcW w:w="1095" w:type="dxa"/>
                  <w:noWrap w:val="0"/>
                  <w:vAlign w:val="center"/>
                </w:tcPr>
                <w:p w14:paraId="495BBA8A">
                  <w:pPr>
                    <w:ind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项目</w:t>
                  </w:r>
                </w:p>
              </w:tc>
              <w:tc>
                <w:tcPr>
                  <w:tcW w:w="2483" w:type="dxa"/>
                  <w:gridSpan w:val="3"/>
                  <w:noWrap w:val="0"/>
                  <w:vAlign w:val="center"/>
                </w:tcPr>
                <w:p w14:paraId="5D38FCD9">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color w:val="auto"/>
                      <w:sz w:val="21"/>
                      <w:szCs w:val="21"/>
                    </w:rPr>
                    <w:t>标准限值</w:t>
                  </w:r>
                </w:p>
              </w:tc>
            </w:tr>
            <w:tr w14:paraId="1765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7D56DC9A">
                  <w:pPr>
                    <w:ind w:firstLine="0" w:firstLineChars="0"/>
                    <w:jc w:val="center"/>
                    <w:rPr>
                      <w:rFonts w:hint="eastAsia" w:ascii="Times New Roman" w:hAnsi="Times New Roman" w:eastAsia="宋体" w:cs="Times New Roman"/>
                      <w:sz w:val="21"/>
                      <w:szCs w:val="21"/>
                      <w:lang w:val="en-US" w:eastAsia="zh-CN"/>
                    </w:rPr>
                  </w:pPr>
                </w:p>
              </w:tc>
              <w:tc>
                <w:tcPr>
                  <w:tcW w:w="1138" w:type="dxa"/>
                  <w:shd w:val="clear" w:color="auto" w:fill="auto"/>
                  <w:noWrap w:val="0"/>
                  <w:vAlign w:val="center"/>
                </w:tcPr>
                <w:p w14:paraId="7D1E8654">
                  <w:pPr>
                    <w:keepNext w:val="0"/>
                    <w:keepLines w:val="0"/>
                    <w:widowControl/>
                    <w:suppressLineNumbers w:val="0"/>
                    <w:spacing w:line="240" w:lineRule="auto"/>
                    <w:jc w:val="center"/>
                    <w:textAlignment w:val="center"/>
                    <w:rPr>
                      <w:rFonts w:hint="default" w:ascii="宋体" w:hAnsi="Courier New" w:eastAsia="宋体"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pH</w:t>
                  </w:r>
                </w:p>
              </w:tc>
              <w:tc>
                <w:tcPr>
                  <w:tcW w:w="2370" w:type="dxa"/>
                  <w:gridSpan w:val="3"/>
                  <w:shd w:val="clear" w:color="auto" w:fill="auto"/>
                  <w:noWrap w:val="0"/>
                  <w:vAlign w:val="center"/>
                </w:tcPr>
                <w:p w14:paraId="54DF1A9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eastAsia="宋体"/>
                      <w:color w:val="auto"/>
                      <w:sz w:val="21"/>
                      <w:szCs w:val="21"/>
                      <w:lang w:val="en-US" w:eastAsia="zh-CN"/>
                    </w:rPr>
                    <w:t>6～9</w:t>
                  </w:r>
                  <w:r>
                    <w:rPr>
                      <w:rFonts w:hint="eastAsia"/>
                      <w:color w:val="auto"/>
                      <w:spacing w:val="-4"/>
                      <w:sz w:val="21"/>
                      <w:szCs w:val="21"/>
                      <w:lang w:eastAsia="zh-CN"/>
                    </w:rPr>
                    <w:t>无量纲</w:t>
                  </w:r>
                </w:p>
              </w:tc>
              <w:tc>
                <w:tcPr>
                  <w:tcW w:w="1095" w:type="dxa"/>
                  <w:noWrap w:val="0"/>
                  <w:vAlign w:val="center"/>
                </w:tcPr>
                <w:p w14:paraId="7A45418D">
                  <w:pPr>
                    <w:keepNext w:val="0"/>
                    <w:keepLines w:val="0"/>
                    <w:widowControl/>
                    <w:suppressLineNumbers w:val="0"/>
                    <w:spacing w:line="240" w:lineRule="auto"/>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pH</w:t>
                  </w:r>
                </w:p>
              </w:tc>
              <w:tc>
                <w:tcPr>
                  <w:tcW w:w="2483" w:type="dxa"/>
                  <w:gridSpan w:val="3"/>
                  <w:shd w:val="clear" w:color="auto" w:fill="auto"/>
                  <w:noWrap w:val="0"/>
                  <w:vAlign w:val="center"/>
                </w:tcPr>
                <w:p w14:paraId="5F0BE9E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eastAsia="宋体"/>
                      <w:color w:val="auto"/>
                      <w:sz w:val="21"/>
                      <w:szCs w:val="21"/>
                      <w:lang w:val="en-US" w:eastAsia="zh-CN"/>
                    </w:rPr>
                    <w:t>6～9</w:t>
                  </w:r>
                  <w:r>
                    <w:rPr>
                      <w:rFonts w:hint="eastAsia"/>
                      <w:color w:val="auto"/>
                      <w:spacing w:val="-4"/>
                      <w:sz w:val="21"/>
                      <w:szCs w:val="21"/>
                      <w:lang w:eastAsia="zh-CN"/>
                    </w:rPr>
                    <w:t>无量纲</w:t>
                  </w:r>
                </w:p>
              </w:tc>
            </w:tr>
            <w:tr w14:paraId="31F0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0339D1E1">
                  <w:pPr>
                    <w:ind w:firstLine="0" w:firstLineChars="0"/>
                    <w:jc w:val="center"/>
                    <w:rPr>
                      <w:rFonts w:hint="eastAsia" w:ascii="Times New Roman" w:hAnsi="Times New Roman" w:eastAsia="宋体" w:cs="Times New Roman"/>
                      <w:sz w:val="21"/>
                      <w:szCs w:val="21"/>
                      <w:lang w:val="en-US" w:eastAsia="zh-CN"/>
                    </w:rPr>
                  </w:pPr>
                </w:p>
              </w:tc>
              <w:tc>
                <w:tcPr>
                  <w:tcW w:w="1138" w:type="dxa"/>
                  <w:shd w:val="clear" w:color="auto" w:fill="auto"/>
                  <w:noWrap w:val="0"/>
                  <w:vAlign w:val="center"/>
                </w:tcPr>
                <w:p w14:paraId="6904A5C7">
                  <w:pPr>
                    <w:keepNext w:val="0"/>
                    <w:keepLines w:val="0"/>
                    <w:widowControl/>
                    <w:suppressLineNumbers w:val="0"/>
                    <w:spacing w:line="240" w:lineRule="auto"/>
                    <w:jc w:val="center"/>
                    <w:textAlignment w:val="center"/>
                    <w:rPr>
                      <w:rFonts w:hint="default" w:ascii="宋体" w:hAnsi="Courier New" w:eastAsia="宋体"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化学需氧量</w:t>
                  </w:r>
                </w:p>
              </w:tc>
              <w:tc>
                <w:tcPr>
                  <w:tcW w:w="2370" w:type="dxa"/>
                  <w:gridSpan w:val="3"/>
                  <w:shd w:val="clear" w:color="auto" w:fill="auto"/>
                  <w:noWrap w:val="0"/>
                  <w:vAlign w:val="center"/>
                </w:tcPr>
                <w:p w14:paraId="65994DF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sz w:val="21"/>
                      <w:szCs w:val="21"/>
                      <w:highlight w:val="none"/>
                      <w:lang w:val="en-US" w:eastAsia="zh-CN"/>
                    </w:rPr>
                    <w:t>10000</w:t>
                  </w:r>
                  <w:r>
                    <w:rPr>
                      <w:color w:val="auto"/>
                      <w:spacing w:val="-4"/>
                      <w:sz w:val="21"/>
                      <w:szCs w:val="21"/>
                    </w:rPr>
                    <w:t>mg/</w:t>
                  </w:r>
                  <w:r>
                    <w:rPr>
                      <w:rFonts w:hint="eastAsia"/>
                      <w:color w:val="auto"/>
                      <w:spacing w:val="-4"/>
                      <w:sz w:val="21"/>
                      <w:szCs w:val="21"/>
                      <w:lang w:val="en-US" w:eastAsia="zh-CN"/>
                    </w:rPr>
                    <w:t>L</w:t>
                  </w:r>
                </w:p>
              </w:tc>
              <w:tc>
                <w:tcPr>
                  <w:tcW w:w="1095" w:type="dxa"/>
                  <w:noWrap w:val="0"/>
                  <w:vAlign w:val="center"/>
                </w:tcPr>
                <w:p w14:paraId="48DED581">
                  <w:pPr>
                    <w:keepNext w:val="0"/>
                    <w:keepLines w:val="0"/>
                    <w:widowControl/>
                    <w:suppressLineNumbers w:val="0"/>
                    <w:spacing w:line="240" w:lineRule="auto"/>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化学需氧量</w:t>
                  </w:r>
                </w:p>
              </w:tc>
              <w:tc>
                <w:tcPr>
                  <w:tcW w:w="2483" w:type="dxa"/>
                  <w:gridSpan w:val="3"/>
                  <w:shd w:val="clear" w:color="auto" w:fill="auto"/>
                  <w:noWrap w:val="0"/>
                  <w:vAlign w:val="center"/>
                </w:tcPr>
                <w:p w14:paraId="389707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sz w:val="21"/>
                      <w:szCs w:val="21"/>
                      <w:highlight w:val="none"/>
                      <w:lang w:val="en-US" w:eastAsia="zh-CN"/>
                    </w:rPr>
                    <w:t>10000</w:t>
                  </w:r>
                  <w:r>
                    <w:rPr>
                      <w:color w:val="auto"/>
                      <w:spacing w:val="-4"/>
                      <w:sz w:val="21"/>
                      <w:szCs w:val="21"/>
                    </w:rPr>
                    <w:t>mg/</w:t>
                  </w:r>
                  <w:r>
                    <w:rPr>
                      <w:rFonts w:hint="eastAsia"/>
                      <w:color w:val="auto"/>
                      <w:spacing w:val="-4"/>
                      <w:sz w:val="21"/>
                      <w:szCs w:val="21"/>
                      <w:lang w:val="en-US" w:eastAsia="zh-CN"/>
                    </w:rPr>
                    <w:t>L</w:t>
                  </w:r>
                </w:p>
              </w:tc>
            </w:tr>
            <w:tr w14:paraId="2F97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07F811E1">
                  <w:pPr>
                    <w:ind w:firstLine="0" w:firstLineChars="0"/>
                    <w:jc w:val="center"/>
                    <w:rPr>
                      <w:rFonts w:hint="eastAsia" w:ascii="Times New Roman" w:hAnsi="Times New Roman" w:eastAsia="宋体" w:cs="Times New Roman"/>
                      <w:sz w:val="21"/>
                      <w:szCs w:val="21"/>
                      <w:lang w:val="en-US" w:eastAsia="zh-CN"/>
                    </w:rPr>
                  </w:pPr>
                </w:p>
              </w:tc>
              <w:tc>
                <w:tcPr>
                  <w:tcW w:w="1138" w:type="dxa"/>
                  <w:shd w:val="clear" w:color="auto" w:fill="auto"/>
                  <w:noWrap w:val="0"/>
                  <w:vAlign w:val="center"/>
                </w:tcPr>
                <w:p w14:paraId="1FFE1E3E">
                  <w:pPr>
                    <w:keepNext w:val="0"/>
                    <w:keepLines w:val="0"/>
                    <w:widowControl/>
                    <w:suppressLineNumbers w:val="0"/>
                    <w:spacing w:line="240" w:lineRule="auto"/>
                    <w:jc w:val="center"/>
                    <w:textAlignment w:val="center"/>
                    <w:rPr>
                      <w:rFonts w:hint="default" w:ascii="宋体" w:hAnsi="Courier New" w:eastAsia="宋体"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五日生化需氧量</w:t>
                  </w:r>
                </w:p>
              </w:tc>
              <w:tc>
                <w:tcPr>
                  <w:tcW w:w="2370" w:type="dxa"/>
                  <w:gridSpan w:val="3"/>
                  <w:shd w:val="clear" w:color="auto" w:fill="auto"/>
                  <w:noWrap w:val="0"/>
                  <w:vAlign w:val="center"/>
                </w:tcPr>
                <w:p w14:paraId="1586B43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sz w:val="21"/>
                      <w:szCs w:val="21"/>
                      <w:highlight w:val="none"/>
                      <w:lang w:val="en-US" w:eastAsia="zh-CN"/>
                    </w:rPr>
                    <w:t>5000</w:t>
                  </w:r>
                  <w:r>
                    <w:rPr>
                      <w:color w:val="auto"/>
                      <w:spacing w:val="-4"/>
                      <w:sz w:val="21"/>
                      <w:szCs w:val="21"/>
                    </w:rPr>
                    <w:t>mg/</w:t>
                  </w:r>
                  <w:r>
                    <w:rPr>
                      <w:rFonts w:hint="eastAsia"/>
                      <w:color w:val="auto"/>
                      <w:spacing w:val="-4"/>
                      <w:sz w:val="21"/>
                      <w:szCs w:val="21"/>
                      <w:lang w:val="en-US" w:eastAsia="zh-CN"/>
                    </w:rPr>
                    <w:t>L</w:t>
                  </w:r>
                </w:p>
              </w:tc>
              <w:tc>
                <w:tcPr>
                  <w:tcW w:w="1095" w:type="dxa"/>
                  <w:noWrap w:val="0"/>
                  <w:vAlign w:val="center"/>
                </w:tcPr>
                <w:p w14:paraId="2AAC75FB">
                  <w:pPr>
                    <w:keepNext w:val="0"/>
                    <w:keepLines w:val="0"/>
                    <w:widowControl/>
                    <w:suppressLineNumbers w:val="0"/>
                    <w:spacing w:line="240" w:lineRule="auto"/>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五日生化需氧量</w:t>
                  </w:r>
                </w:p>
              </w:tc>
              <w:tc>
                <w:tcPr>
                  <w:tcW w:w="2483" w:type="dxa"/>
                  <w:gridSpan w:val="3"/>
                  <w:shd w:val="clear" w:color="auto" w:fill="auto"/>
                  <w:noWrap w:val="0"/>
                  <w:vAlign w:val="center"/>
                </w:tcPr>
                <w:p w14:paraId="2CD75B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sz w:val="21"/>
                      <w:szCs w:val="21"/>
                      <w:highlight w:val="none"/>
                      <w:lang w:val="en-US" w:eastAsia="zh-CN"/>
                    </w:rPr>
                    <w:t>5000</w:t>
                  </w:r>
                  <w:r>
                    <w:rPr>
                      <w:color w:val="auto"/>
                      <w:spacing w:val="-4"/>
                      <w:sz w:val="21"/>
                      <w:szCs w:val="21"/>
                    </w:rPr>
                    <w:t>mg/</w:t>
                  </w:r>
                  <w:r>
                    <w:rPr>
                      <w:rFonts w:hint="eastAsia"/>
                      <w:color w:val="auto"/>
                      <w:spacing w:val="-4"/>
                      <w:sz w:val="21"/>
                      <w:szCs w:val="21"/>
                      <w:lang w:val="en-US" w:eastAsia="zh-CN"/>
                    </w:rPr>
                    <w:t>L</w:t>
                  </w:r>
                </w:p>
              </w:tc>
            </w:tr>
            <w:tr w14:paraId="082E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13DFDF4F">
                  <w:pPr>
                    <w:ind w:firstLine="0" w:firstLineChars="0"/>
                    <w:jc w:val="center"/>
                    <w:rPr>
                      <w:rFonts w:hint="eastAsia" w:ascii="Times New Roman" w:hAnsi="Times New Roman" w:eastAsia="宋体" w:cs="Times New Roman"/>
                      <w:sz w:val="21"/>
                      <w:szCs w:val="21"/>
                      <w:lang w:val="en-US" w:eastAsia="zh-CN"/>
                    </w:rPr>
                  </w:pPr>
                </w:p>
              </w:tc>
              <w:tc>
                <w:tcPr>
                  <w:tcW w:w="1138" w:type="dxa"/>
                  <w:shd w:val="clear" w:color="auto" w:fill="auto"/>
                  <w:noWrap w:val="0"/>
                  <w:vAlign w:val="center"/>
                </w:tcPr>
                <w:p w14:paraId="7097788B">
                  <w:pPr>
                    <w:pStyle w:val="29"/>
                    <w:adjustRightInd w:val="0"/>
                    <w:spacing w:before="0" w:beforeAutospacing="0" w:after="0" w:afterAutospacing="0" w:line="0" w:lineRule="atLeast"/>
                    <w:jc w:val="center"/>
                    <w:rPr>
                      <w:rFonts w:hint="eastAsia" w:ascii="宋体" w:hAnsi="宋体" w:eastAsia="宋体" w:cs="宋体"/>
                      <w:i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氨氮（以N计）</w:t>
                  </w:r>
                </w:p>
              </w:tc>
              <w:tc>
                <w:tcPr>
                  <w:tcW w:w="2370" w:type="dxa"/>
                  <w:gridSpan w:val="3"/>
                  <w:shd w:val="clear" w:color="auto" w:fill="auto"/>
                  <w:noWrap w:val="0"/>
                  <w:vAlign w:val="center"/>
                </w:tcPr>
                <w:p w14:paraId="547FA5F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1000</w:t>
                  </w:r>
                  <w:r>
                    <w:rPr>
                      <w:color w:val="auto"/>
                      <w:spacing w:val="-4"/>
                      <w:sz w:val="21"/>
                      <w:szCs w:val="21"/>
                    </w:rPr>
                    <w:t>mg/</w:t>
                  </w:r>
                  <w:r>
                    <w:rPr>
                      <w:rFonts w:hint="eastAsia"/>
                      <w:color w:val="auto"/>
                      <w:spacing w:val="-4"/>
                      <w:sz w:val="21"/>
                      <w:szCs w:val="21"/>
                      <w:lang w:val="en-US" w:eastAsia="zh-CN"/>
                    </w:rPr>
                    <w:t>L</w:t>
                  </w:r>
                </w:p>
              </w:tc>
              <w:tc>
                <w:tcPr>
                  <w:tcW w:w="1095" w:type="dxa"/>
                  <w:noWrap w:val="0"/>
                  <w:vAlign w:val="center"/>
                </w:tcPr>
                <w:p w14:paraId="36D20D7B">
                  <w:pPr>
                    <w:pStyle w:val="29"/>
                    <w:adjustRightInd w:val="0"/>
                    <w:spacing w:before="0" w:beforeAutospacing="0" w:after="0" w:afterAutospacing="0" w:line="0" w:lineRule="atLeast"/>
                    <w:jc w:val="center"/>
                    <w:rPr>
                      <w:rFonts w:hint="default" w:ascii="Times New Roman" w:hAnsi="Times New Roman" w:eastAsia="宋体" w:cs="Times New Roman"/>
                      <w:sz w:val="21"/>
                      <w:szCs w:val="21"/>
                    </w:rPr>
                  </w:pPr>
                  <w:r>
                    <w:rPr>
                      <w:rFonts w:hint="eastAsia" w:ascii="Times New Roman" w:hAnsi="Times New Roman" w:eastAsia="宋体" w:cs="Times New Roman"/>
                      <w:color w:val="auto"/>
                      <w:sz w:val="21"/>
                      <w:szCs w:val="21"/>
                      <w:lang w:val="en-US" w:eastAsia="zh-CN"/>
                    </w:rPr>
                    <w:t>氨氮（以N计）</w:t>
                  </w:r>
                </w:p>
              </w:tc>
              <w:tc>
                <w:tcPr>
                  <w:tcW w:w="2483" w:type="dxa"/>
                  <w:gridSpan w:val="3"/>
                  <w:shd w:val="clear" w:color="auto" w:fill="auto"/>
                  <w:noWrap w:val="0"/>
                  <w:vAlign w:val="center"/>
                </w:tcPr>
                <w:p w14:paraId="1FEAD49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1000</w:t>
                  </w:r>
                  <w:r>
                    <w:rPr>
                      <w:color w:val="auto"/>
                      <w:spacing w:val="-4"/>
                      <w:sz w:val="21"/>
                      <w:szCs w:val="21"/>
                    </w:rPr>
                    <w:t>mg/</w:t>
                  </w:r>
                  <w:r>
                    <w:rPr>
                      <w:rFonts w:hint="eastAsia"/>
                      <w:color w:val="auto"/>
                      <w:spacing w:val="-4"/>
                      <w:sz w:val="21"/>
                      <w:szCs w:val="21"/>
                      <w:lang w:val="en-US" w:eastAsia="zh-CN"/>
                    </w:rPr>
                    <w:t>L</w:t>
                  </w:r>
                </w:p>
              </w:tc>
            </w:tr>
            <w:tr w14:paraId="1A2C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37" w:type="dxa"/>
                  <w:vMerge w:val="continue"/>
                  <w:noWrap w:val="0"/>
                  <w:vAlign w:val="center"/>
                </w:tcPr>
                <w:p w14:paraId="5894A964">
                  <w:pPr>
                    <w:ind w:firstLine="0" w:firstLineChars="0"/>
                    <w:jc w:val="center"/>
                    <w:rPr>
                      <w:rFonts w:hint="eastAsia" w:ascii="Times New Roman" w:hAnsi="Times New Roman" w:eastAsia="宋体" w:cs="Times New Roman"/>
                      <w:sz w:val="21"/>
                      <w:szCs w:val="21"/>
                      <w:lang w:val="en-US" w:eastAsia="zh-CN"/>
                    </w:rPr>
                  </w:pPr>
                </w:p>
              </w:tc>
              <w:tc>
                <w:tcPr>
                  <w:tcW w:w="1138" w:type="dxa"/>
                  <w:shd w:val="clear" w:color="auto" w:fill="auto"/>
                  <w:noWrap w:val="0"/>
                  <w:vAlign w:val="center"/>
                </w:tcPr>
                <w:p w14:paraId="740E0856">
                  <w:pPr>
                    <w:pStyle w:val="29"/>
                    <w:adjustRightInd w:val="0"/>
                    <w:spacing w:before="0" w:beforeAutospacing="0" w:after="0" w:afterAutospacing="0" w:line="0" w:lineRule="atLeast"/>
                    <w:jc w:val="center"/>
                    <w:rPr>
                      <w:rFonts w:hint="eastAsia" w:ascii="宋体" w:hAnsi="宋体" w:eastAsia="宋体" w:cs="宋体"/>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总氮</w:t>
                  </w:r>
                </w:p>
              </w:tc>
              <w:tc>
                <w:tcPr>
                  <w:tcW w:w="2370" w:type="dxa"/>
                  <w:gridSpan w:val="3"/>
                  <w:shd w:val="clear" w:color="auto" w:fill="auto"/>
                  <w:noWrap w:val="0"/>
                  <w:vAlign w:val="center"/>
                </w:tcPr>
                <w:p w14:paraId="79E9B4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1200</w:t>
                  </w:r>
                  <w:r>
                    <w:rPr>
                      <w:color w:val="auto"/>
                      <w:spacing w:val="-4"/>
                      <w:sz w:val="21"/>
                      <w:szCs w:val="21"/>
                    </w:rPr>
                    <w:t>mg/</w:t>
                  </w:r>
                  <w:r>
                    <w:rPr>
                      <w:rFonts w:hint="eastAsia"/>
                      <w:color w:val="auto"/>
                      <w:spacing w:val="-4"/>
                      <w:sz w:val="21"/>
                      <w:szCs w:val="21"/>
                      <w:lang w:val="en-US" w:eastAsia="zh-CN"/>
                    </w:rPr>
                    <w:t>L</w:t>
                  </w:r>
                </w:p>
              </w:tc>
              <w:tc>
                <w:tcPr>
                  <w:tcW w:w="1095" w:type="dxa"/>
                  <w:noWrap w:val="0"/>
                  <w:vAlign w:val="center"/>
                </w:tcPr>
                <w:p w14:paraId="63DE1C3F">
                  <w:pPr>
                    <w:pStyle w:val="29"/>
                    <w:adjustRightInd w:val="0"/>
                    <w:spacing w:before="0" w:beforeAutospacing="0" w:after="0" w:afterAutospacing="0" w:line="0" w:lineRule="atLeast"/>
                    <w:jc w:val="center"/>
                    <w:rPr>
                      <w:rFonts w:hint="default" w:ascii="Times New Roman" w:hAnsi="Times New Roman" w:eastAsia="宋体" w:cs="Times New Roman"/>
                      <w:sz w:val="21"/>
                      <w:szCs w:val="21"/>
                    </w:rPr>
                  </w:pPr>
                  <w:r>
                    <w:rPr>
                      <w:rFonts w:hint="eastAsia" w:ascii="Times New Roman" w:hAnsi="Times New Roman" w:eastAsia="宋体" w:cs="Times New Roman"/>
                      <w:color w:val="auto"/>
                      <w:sz w:val="21"/>
                      <w:szCs w:val="21"/>
                      <w:lang w:val="en-US" w:eastAsia="zh-CN"/>
                    </w:rPr>
                    <w:t>总氮</w:t>
                  </w:r>
                </w:p>
              </w:tc>
              <w:tc>
                <w:tcPr>
                  <w:tcW w:w="2483" w:type="dxa"/>
                  <w:gridSpan w:val="3"/>
                  <w:shd w:val="clear" w:color="auto" w:fill="auto"/>
                  <w:noWrap w:val="0"/>
                  <w:vAlign w:val="center"/>
                </w:tcPr>
                <w:p w14:paraId="0E1E47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1200</w:t>
                  </w:r>
                  <w:r>
                    <w:rPr>
                      <w:color w:val="auto"/>
                      <w:spacing w:val="-4"/>
                      <w:sz w:val="21"/>
                      <w:szCs w:val="21"/>
                    </w:rPr>
                    <w:t>mg/</w:t>
                  </w:r>
                  <w:r>
                    <w:rPr>
                      <w:rFonts w:hint="eastAsia"/>
                      <w:color w:val="auto"/>
                      <w:spacing w:val="-4"/>
                      <w:sz w:val="21"/>
                      <w:szCs w:val="21"/>
                      <w:lang w:val="en-US" w:eastAsia="zh-CN"/>
                    </w:rPr>
                    <w:t>L</w:t>
                  </w:r>
                </w:p>
              </w:tc>
            </w:tr>
            <w:tr w14:paraId="227B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37" w:type="dxa"/>
                  <w:vMerge w:val="restart"/>
                  <w:noWrap w:val="0"/>
                  <w:vAlign w:val="center"/>
                </w:tcPr>
                <w:p w14:paraId="2F04E524">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厂界</w:t>
                  </w:r>
                </w:p>
                <w:p w14:paraId="1B130191">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w:t>
                  </w:r>
                </w:p>
              </w:tc>
              <w:tc>
                <w:tcPr>
                  <w:tcW w:w="1138" w:type="dxa"/>
                  <w:noWrap w:val="0"/>
                  <w:vAlign w:val="center"/>
                </w:tcPr>
                <w:p w14:paraId="14214584">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tc>
              <w:tc>
                <w:tcPr>
                  <w:tcW w:w="2370" w:type="dxa"/>
                  <w:gridSpan w:val="3"/>
                  <w:noWrap w:val="0"/>
                  <w:vAlign w:val="center"/>
                </w:tcPr>
                <w:p w14:paraId="7F120624">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《工业企业厂界环境噪声排放标准》（GB12348-2008）</w:t>
                  </w:r>
                  <w:r>
                    <w:rPr>
                      <w:rFonts w:hint="eastAsia" w:ascii="Times New Roman" w:hAnsi="Times New Roman" w:eastAsia="宋体" w:cs="Times New Roman"/>
                      <w:sz w:val="21"/>
                      <w:szCs w:val="21"/>
                      <w:lang w:eastAsia="zh-CN"/>
                    </w:rPr>
                    <w:t>表</w:t>
                  </w:r>
                  <w:r>
                    <w:rPr>
                      <w:rFonts w:hint="eastAsia" w:ascii="Times New Roman" w:hAnsi="Times New Roman" w:eastAsia="宋体" w:cs="Times New Roman"/>
                      <w:sz w:val="21"/>
                      <w:szCs w:val="21"/>
                      <w:lang w:val="en-US" w:eastAsia="zh-CN"/>
                    </w:rPr>
                    <w:t>1中2</w:t>
                  </w:r>
                  <w:r>
                    <w:rPr>
                      <w:rFonts w:hint="default" w:ascii="Times New Roman" w:hAnsi="Times New Roman" w:eastAsia="宋体" w:cs="Times New Roman"/>
                      <w:sz w:val="21"/>
                      <w:szCs w:val="21"/>
                    </w:rPr>
                    <w:t>类标准</w:t>
                  </w:r>
                </w:p>
              </w:tc>
              <w:tc>
                <w:tcPr>
                  <w:tcW w:w="1095" w:type="dxa"/>
                  <w:noWrap w:val="0"/>
                  <w:vAlign w:val="center"/>
                </w:tcPr>
                <w:p w14:paraId="2CA22EF2">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tc>
              <w:tc>
                <w:tcPr>
                  <w:tcW w:w="2483" w:type="dxa"/>
                  <w:gridSpan w:val="3"/>
                  <w:noWrap w:val="0"/>
                  <w:vAlign w:val="center"/>
                </w:tcPr>
                <w:p w14:paraId="57FAE9A4">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《工业企业厂界环境噪声排放标准》（GB12348-2008）</w:t>
                  </w:r>
                  <w:r>
                    <w:rPr>
                      <w:rFonts w:hint="eastAsia" w:ascii="Times New Roman" w:hAnsi="Times New Roman" w:eastAsia="宋体" w:cs="Times New Roman"/>
                      <w:sz w:val="21"/>
                      <w:szCs w:val="21"/>
                      <w:lang w:eastAsia="zh-CN"/>
                    </w:rPr>
                    <w:t>表</w:t>
                  </w:r>
                  <w:r>
                    <w:rPr>
                      <w:rFonts w:hint="eastAsia" w:ascii="Times New Roman" w:hAnsi="Times New Roman" w:eastAsia="宋体" w:cs="Times New Roman"/>
                      <w:sz w:val="21"/>
                      <w:szCs w:val="21"/>
                      <w:lang w:val="en-US" w:eastAsia="zh-CN"/>
                    </w:rPr>
                    <w:t>1中2</w:t>
                  </w:r>
                  <w:r>
                    <w:rPr>
                      <w:rFonts w:hint="default" w:ascii="Times New Roman" w:hAnsi="Times New Roman" w:eastAsia="宋体" w:cs="Times New Roman"/>
                      <w:sz w:val="21"/>
                      <w:szCs w:val="21"/>
                    </w:rPr>
                    <w:t>类标准</w:t>
                  </w:r>
                </w:p>
              </w:tc>
            </w:tr>
            <w:tr w14:paraId="71BB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7" w:type="dxa"/>
                  <w:vMerge w:val="continue"/>
                  <w:noWrap w:val="0"/>
                  <w:vAlign w:val="center"/>
                </w:tcPr>
                <w:p w14:paraId="724CD6BC">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5040FF4F">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2370" w:type="dxa"/>
                  <w:gridSpan w:val="3"/>
                  <w:noWrap w:val="0"/>
                  <w:vAlign w:val="center"/>
                </w:tcPr>
                <w:p w14:paraId="30D7FEBF">
                  <w:pPr>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60 </w:t>
                  </w:r>
                  <w:r>
                    <w:rPr>
                      <w:rFonts w:hint="default" w:ascii="Times New Roman" w:hAnsi="Times New Roman" w:eastAsia="宋体" w:cs="Times New Roman"/>
                      <w:sz w:val="21"/>
                      <w:szCs w:val="21"/>
                    </w:rPr>
                    <w:t>dB(A)</w:t>
                  </w:r>
                </w:p>
              </w:tc>
              <w:tc>
                <w:tcPr>
                  <w:tcW w:w="1095" w:type="dxa"/>
                  <w:noWrap w:val="0"/>
                  <w:vAlign w:val="center"/>
                </w:tcPr>
                <w:p w14:paraId="2D6E9B57">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w:t>
                  </w:r>
                </w:p>
              </w:tc>
              <w:tc>
                <w:tcPr>
                  <w:tcW w:w="2483" w:type="dxa"/>
                  <w:gridSpan w:val="3"/>
                  <w:noWrap w:val="0"/>
                  <w:vAlign w:val="center"/>
                </w:tcPr>
                <w:p w14:paraId="019CF088">
                  <w:pPr>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60 </w:t>
                  </w:r>
                  <w:r>
                    <w:rPr>
                      <w:rFonts w:hint="default" w:ascii="Times New Roman" w:hAnsi="Times New Roman" w:eastAsia="宋体" w:cs="Times New Roman"/>
                      <w:sz w:val="21"/>
                      <w:szCs w:val="21"/>
                    </w:rPr>
                    <w:t>dB(A)</w:t>
                  </w:r>
                </w:p>
              </w:tc>
            </w:tr>
            <w:tr w14:paraId="605A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637" w:type="dxa"/>
                  <w:vMerge w:val="continue"/>
                  <w:noWrap w:val="0"/>
                  <w:vAlign w:val="center"/>
                </w:tcPr>
                <w:p w14:paraId="295DD4F9">
                  <w:pPr>
                    <w:ind w:firstLine="0" w:firstLineChars="0"/>
                    <w:jc w:val="center"/>
                    <w:rPr>
                      <w:rFonts w:hint="default" w:ascii="Times New Roman" w:hAnsi="Times New Roman" w:eastAsia="宋体" w:cs="Times New Roman"/>
                      <w:sz w:val="21"/>
                      <w:szCs w:val="21"/>
                    </w:rPr>
                  </w:pPr>
                </w:p>
              </w:tc>
              <w:tc>
                <w:tcPr>
                  <w:tcW w:w="1138" w:type="dxa"/>
                  <w:noWrap w:val="0"/>
                  <w:vAlign w:val="center"/>
                </w:tcPr>
                <w:p w14:paraId="17157891">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2370" w:type="dxa"/>
                  <w:gridSpan w:val="3"/>
                  <w:noWrap w:val="0"/>
                  <w:vAlign w:val="center"/>
                </w:tcPr>
                <w:p w14:paraId="36E701A3">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r>
                    <w:rPr>
                      <w:rFonts w:hint="eastAsia" w:ascii="Times New Roman" w:hAnsi="Times New Roman" w:eastAsia="宋体" w:cs="Times New Roman"/>
                      <w:sz w:val="21"/>
                      <w:szCs w:val="21"/>
                      <w:lang w:val="en-US" w:eastAsia="zh-CN"/>
                    </w:rPr>
                    <w:t xml:space="preserve">0 </w:t>
                  </w:r>
                  <w:r>
                    <w:rPr>
                      <w:rFonts w:hint="default" w:ascii="Times New Roman" w:hAnsi="Times New Roman" w:eastAsia="宋体" w:cs="Times New Roman"/>
                      <w:sz w:val="21"/>
                      <w:szCs w:val="21"/>
                    </w:rPr>
                    <w:t>dB(A)</w:t>
                  </w:r>
                </w:p>
              </w:tc>
              <w:tc>
                <w:tcPr>
                  <w:tcW w:w="1095" w:type="dxa"/>
                  <w:noWrap w:val="0"/>
                  <w:vAlign w:val="center"/>
                </w:tcPr>
                <w:p w14:paraId="12C83AB9">
                  <w:pPr>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夜间</w:t>
                  </w:r>
                </w:p>
              </w:tc>
              <w:tc>
                <w:tcPr>
                  <w:tcW w:w="2483" w:type="dxa"/>
                  <w:gridSpan w:val="3"/>
                  <w:noWrap w:val="0"/>
                  <w:vAlign w:val="center"/>
                </w:tcPr>
                <w:p w14:paraId="6827AE65">
                  <w:pPr>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50 </w:t>
                  </w:r>
                  <w:r>
                    <w:rPr>
                      <w:rFonts w:hint="default" w:ascii="Times New Roman" w:hAnsi="Times New Roman" w:eastAsia="宋体" w:cs="Times New Roman"/>
                      <w:sz w:val="21"/>
                      <w:szCs w:val="21"/>
                    </w:rPr>
                    <w:t>dB(A)</w:t>
                  </w:r>
                </w:p>
              </w:tc>
            </w:tr>
          </w:tbl>
          <w:p w14:paraId="40DB40F2">
            <w:pPr>
              <w:numPr>
                <w:ilvl w:val="0"/>
                <w:numId w:val="0"/>
              </w:numPr>
              <w:rPr>
                <w:rFonts w:hint="eastAsia"/>
                <w:color w:val="FF0000"/>
                <w:lang w:val="en-US" w:eastAsia="zh-CN"/>
              </w:rPr>
            </w:pPr>
          </w:p>
          <w:p w14:paraId="43BE9BB4">
            <w:pPr>
              <w:rPr>
                <w:rFonts w:hint="default"/>
                <w:lang w:val="en-US" w:eastAsia="zh-CN"/>
              </w:rPr>
            </w:pPr>
          </w:p>
        </w:tc>
      </w:tr>
    </w:tbl>
    <w:p w14:paraId="4CFA68C3">
      <w:pPr>
        <w:pStyle w:val="3"/>
        <w:numPr>
          <w:ilvl w:val="0"/>
          <w:numId w:val="0"/>
        </w:numPr>
        <w:spacing w:before="120" w:after="120"/>
        <w:rPr>
          <w:rStyle w:val="43"/>
          <w:rFonts w:hint="default" w:ascii="Times New Roman" w:hAnsi="Times New Roman" w:cs="Times New Roman"/>
          <w:b/>
          <w:bCs/>
          <w:color w:val="auto"/>
        </w:rPr>
      </w:pPr>
      <w:bookmarkStart w:id="5" w:name="_Toc24152"/>
      <w:bookmarkStart w:id="6" w:name="_Toc12721"/>
      <w:bookmarkStart w:id="7" w:name="_Toc20779_WPSOffice_Level1"/>
      <w:bookmarkStart w:id="8" w:name="_Toc9692_WPSOffice_Level1"/>
      <w:bookmarkStart w:id="9" w:name="_Toc5660"/>
      <w:r>
        <w:rPr>
          <w:rStyle w:val="43"/>
          <w:rFonts w:hint="default" w:ascii="Times New Roman" w:hAnsi="Times New Roman" w:cs="Times New Roman"/>
          <w:b/>
          <w:bCs/>
          <w:color w:val="auto"/>
        </w:rPr>
        <w:t>表二  工程建设内容</w:t>
      </w:r>
    </w:p>
    <w:bookmarkEnd w:id="5"/>
    <w:bookmarkEnd w:id="6"/>
    <w:bookmarkEnd w:id="7"/>
    <w:bookmarkEnd w:id="8"/>
    <w:bookmarkEnd w:id="9"/>
    <w:tbl>
      <w:tblPr>
        <w:tblStyle w:val="33"/>
        <w:tblW w:w="10380" w:type="dxa"/>
        <w:tblInd w:w="-155" w:type="dxa"/>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380"/>
      </w:tblGrid>
      <w:tr w14:paraId="6FB908E7">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75" w:hRule="atLeast"/>
        </w:trPr>
        <w:tc>
          <w:tcPr>
            <w:tcW w:w="10380" w:type="dxa"/>
            <w:noWrap w:val="0"/>
            <w:vAlign w:val="top"/>
          </w:tcPr>
          <w:p w14:paraId="0B5D2662">
            <w:pPr>
              <w:pStyle w:val="5"/>
              <w:numPr>
                <w:ilvl w:val="2"/>
                <w:numId w:val="0"/>
              </w:numPr>
              <w:tabs>
                <w:tab w:val="clear" w:pos="420"/>
              </w:tabs>
              <w:bidi w:val="0"/>
              <w:rPr>
                <w:rFonts w:hint="default"/>
                <w:lang w:val="en-US" w:eastAsia="zh-CN"/>
              </w:rPr>
            </w:pPr>
            <w:r>
              <w:rPr>
                <w:rFonts w:hint="eastAsia"/>
                <w:lang w:val="en-US" w:eastAsia="zh-CN"/>
              </w:rPr>
              <w:t>1、项目概况</w:t>
            </w:r>
          </w:p>
          <w:p w14:paraId="1B45E203">
            <w:pPr>
              <w:numPr>
                <w:ilvl w:val="0"/>
                <w:numId w:val="0"/>
              </w:numPr>
              <w:spacing w:line="360" w:lineRule="auto"/>
              <w:ind w:firstLine="210" w:firstLineChars="100"/>
              <w:rPr>
                <w:rFonts w:hint="default" w:ascii="Times New Roman" w:hAnsi="Times New Roman" w:eastAsia="宋体" w:cs="Times New Roman"/>
                <w:kern w:val="0"/>
                <w:sz w:val="24"/>
                <w:szCs w:val="24"/>
                <w:lang w:val="en-US" w:eastAsia="zh-CN" w:bidi="ar-SA"/>
              </w:rPr>
            </w:pPr>
            <w:r>
              <w:rPr>
                <w:rFonts w:hint="eastAsia"/>
                <w:lang w:val="en-US" w:eastAsia="zh-CN"/>
              </w:rPr>
              <w:t>（</w:t>
            </w:r>
            <w:r>
              <w:rPr>
                <w:rFonts w:hint="eastAsia" w:ascii="Times New Roman" w:hAnsi="Times New Roman" w:eastAsia="宋体" w:cs="Times New Roman"/>
                <w:kern w:val="0"/>
                <w:sz w:val="24"/>
                <w:szCs w:val="24"/>
                <w:lang w:val="en-US" w:eastAsia="zh-CN" w:bidi="ar-SA"/>
              </w:rPr>
              <w:t>1)项目由来</w:t>
            </w:r>
          </w:p>
          <w:p w14:paraId="6B308F9F">
            <w:pPr>
              <w:spacing w:line="360" w:lineRule="auto"/>
              <w:ind w:firstLine="480" w:firstLineChars="200"/>
              <w:rPr>
                <w:sz w:val="24"/>
              </w:rPr>
            </w:pPr>
            <w:r>
              <w:rPr>
                <w:rFonts w:hint="eastAsia"/>
                <w:sz w:val="24"/>
              </w:rPr>
              <w:t>由于广元市青川县目前暂无餐厨垃圾处理项目，该地区亟待新建餐厨垃圾处理项目，将当地餐厨垃圾、地沟油进行有效的资源化、减量化、无害化处理，本项目由此筹建。</w:t>
            </w:r>
          </w:p>
          <w:p w14:paraId="7238EF04">
            <w:pPr>
              <w:spacing w:line="360" w:lineRule="auto"/>
              <w:ind w:firstLine="480" w:firstLineChars="200"/>
              <w:rPr>
                <w:sz w:val="24"/>
              </w:rPr>
            </w:pPr>
            <w:r>
              <w:rPr>
                <w:rFonts w:hint="eastAsia"/>
                <w:sz w:val="24"/>
              </w:rPr>
              <w:t>2020年7月10日，青川县发展和改革局向青川县住房和城乡建设局下发了本项目的</w:t>
            </w:r>
            <w:r>
              <w:rPr>
                <w:rFonts w:hint="eastAsia"/>
                <w:b/>
                <w:sz w:val="24"/>
                <w:u w:val="single"/>
              </w:rPr>
              <w:t>可行性研究报告的批复（青发改发[2020]205号）</w:t>
            </w:r>
            <w:r>
              <w:rPr>
                <w:rFonts w:hint="eastAsia"/>
                <w:sz w:val="24"/>
              </w:rPr>
              <w:t>，该可研批复中建设内容为新建一座采用“预处理+湿式中温厌氧发酵+生物质气体能源化利用”技术工艺的60t/d餐厨垃圾处理厂。由于资金和土地等问题，本项目暂时停滞。</w:t>
            </w:r>
          </w:p>
          <w:p w14:paraId="06855407">
            <w:pPr>
              <w:pStyle w:val="2"/>
              <w:spacing w:before="0" w:after="0" w:line="360" w:lineRule="auto"/>
              <w:ind w:right="0" w:firstLine="480" w:firstLineChars="200"/>
              <w:rPr>
                <w:sz w:val="24"/>
              </w:rPr>
            </w:pPr>
            <w:r>
              <w:rPr>
                <w:sz w:val="24"/>
              </w:rPr>
              <w:t>2022年9月9日，青川县人民政府授权青川县综合行政执法局公开招标继续项目的进行，最终由苏州市双利环保工程有限公司中标。中标后，青川县人民政府随即与双利环保公司签订</w:t>
            </w:r>
            <w:r>
              <w:rPr>
                <w:b/>
                <w:sz w:val="24"/>
                <w:u w:val="single"/>
              </w:rPr>
              <w:t>本项目的特许经营协议</w:t>
            </w:r>
            <w:r>
              <w:rPr>
                <w:sz w:val="24"/>
              </w:rPr>
              <w:t>，其中约定双利环保公司成立地方项目公司开展本项目，随即成立了广元伟利森环保工程有限公司，最终青川县人民政府所授权的青川县综合行政执法局、苏州市双利环保工程有限公司、广元伟利森环保工程有限公司签订</w:t>
            </w:r>
            <w:r>
              <w:rPr>
                <w:b/>
                <w:sz w:val="24"/>
                <w:u w:val="single"/>
              </w:rPr>
              <w:t>本项目特许经营协议补充协议</w:t>
            </w:r>
            <w:r>
              <w:rPr>
                <w:sz w:val="24"/>
              </w:rPr>
              <w:t>，同时在补充协议中约定本项目产生污水经预处理后排入青川县生活垃圾处理厂渗滤液处理厂处理，并且青川县综合行政执法局无偿提供土地供本项目使用。青川县综合行政执法局将本项目建设单位及其他变化情况汇报青川县人民政府同意后，向青川县发展和改革局</w:t>
            </w:r>
            <w:r>
              <w:rPr>
                <w:rFonts w:hint="eastAsia"/>
                <w:sz w:val="24"/>
              </w:rPr>
              <w:t>正式发函</w:t>
            </w:r>
            <w:r>
              <w:rPr>
                <w:sz w:val="24"/>
              </w:rPr>
              <w:t>（</w:t>
            </w:r>
            <w:r>
              <w:rPr>
                <w:b/>
                <w:sz w:val="24"/>
                <w:u w:val="single"/>
              </w:rPr>
              <w:t>青综执函</w:t>
            </w:r>
            <w:r>
              <w:rPr>
                <w:rFonts w:hint="eastAsia"/>
                <w:b/>
                <w:sz w:val="24"/>
                <w:u w:val="single"/>
              </w:rPr>
              <w:t>[2023]35号</w:t>
            </w:r>
            <w:r>
              <w:rPr>
                <w:sz w:val="24"/>
              </w:rPr>
              <w:t>），本项目建设单位变更为青川县环卫所、建设处理能力下调至</w:t>
            </w:r>
            <w:r>
              <w:rPr>
                <w:rFonts w:hint="eastAsia"/>
                <w:sz w:val="24"/>
              </w:rPr>
              <w:t>20t/d及资金来源也有部分变化。随即，青川县环卫所在项目招标完成后也做出</w:t>
            </w:r>
            <w:r>
              <w:rPr>
                <w:rFonts w:hint="eastAsia"/>
                <w:b/>
                <w:sz w:val="24"/>
                <w:u w:val="single"/>
              </w:rPr>
              <w:t>“项目业主变更说明”</w:t>
            </w:r>
            <w:r>
              <w:rPr>
                <w:rFonts w:hint="eastAsia"/>
                <w:sz w:val="24"/>
              </w:rPr>
              <w:t>，明确本项目由广元伟利森环保工程有限公司承担实施、运行等工作。</w:t>
            </w:r>
          </w:p>
          <w:p w14:paraId="2F2F6704">
            <w:pPr>
              <w:spacing w:line="360" w:lineRule="auto"/>
              <w:ind w:firstLine="480" w:firstLineChars="200"/>
              <w:rPr>
                <w:sz w:val="24"/>
              </w:rPr>
            </w:pPr>
            <w:r>
              <w:rPr>
                <w:rFonts w:hint="eastAsia"/>
                <w:sz w:val="24"/>
              </w:rPr>
              <w:t>本项目主要从事餐厨垃圾、地沟油无害化处理，属国家发展和改革委员会第 29号令《产业结构调整指导目录（2019年本）》鼓励类中“四十三、环境保护与资源节约综合利用/34、餐厨废弃物资源化利用技术开发及设施建设”，也属于《战略性新兴产业重点产品和服务指导目录（2016版）》中“7节能环保产业 /7.3资源循环利用产业/7.7.4餐厨废弃物资源化无害化利用”。因此，本项目符合国家现行产业政策。</w:t>
            </w:r>
          </w:p>
          <w:p w14:paraId="361C23F8">
            <w:pPr>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该项目由</w:t>
            </w:r>
            <w:r>
              <w:rPr>
                <w:rFonts w:hint="eastAsia" w:ascii="Times New Roman" w:hAnsi="Times New Roman" w:eastAsia="宋体" w:cs="Times New Roman"/>
                <w:color w:val="auto"/>
                <w:sz w:val="24"/>
                <w:szCs w:val="24"/>
                <w:lang w:eastAsia="zh-CN"/>
              </w:rPr>
              <w:t>四川友信恒创环保科技有限公司</w:t>
            </w:r>
            <w:r>
              <w:rPr>
                <w:rFonts w:hint="eastAsia"/>
                <w:color w:val="auto"/>
                <w:sz w:val="24"/>
                <w:szCs w:val="24"/>
                <w:lang w:val="en-US" w:eastAsia="zh-CN"/>
              </w:rPr>
              <w:t>编制完成《</w:t>
            </w:r>
            <w:r>
              <w:rPr>
                <w:rFonts w:hint="eastAsia" w:cs="Times New Roman"/>
                <w:color w:val="auto"/>
                <w:sz w:val="24"/>
                <w:szCs w:val="24"/>
                <w:lang w:eastAsia="zh-CN"/>
              </w:rPr>
              <w:t>青川县餐厨垃圾无害化处理、资源化利用项目</w:t>
            </w:r>
            <w:r>
              <w:rPr>
                <w:sz w:val="24"/>
              </w:rPr>
              <w:t>环境影响报告</w:t>
            </w:r>
            <w:r>
              <w:rPr>
                <w:rFonts w:hint="eastAsia"/>
                <w:sz w:val="24"/>
              </w:rPr>
              <w:t>表</w:t>
            </w:r>
            <w:r>
              <w:rPr>
                <w:rFonts w:hint="eastAsia"/>
                <w:color w:val="auto"/>
                <w:sz w:val="24"/>
              </w:rPr>
              <w:t>》</w:t>
            </w:r>
            <w:r>
              <w:rPr>
                <w:rFonts w:hint="eastAsia"/>
                <w:color w:val="auto"/>
                <w:sz w:val="24"/>
                <w:szCs w:val="24"/>
                <w:lang w:val="en-US" w:eastAsia="zh-CN"/>
              </w:rPr>
              <w:t>，并报请广元市青川生态环境局批复</w:t>
            </w:r>
            <w:r>
              <w:rPr>
                <w:color w:val="auto"/>
                <w:sz w:val="24"/>
              </w:rPr>
              <w:t>（</w:t>
            </w:r>
            <w:r>
              <w:rPr>
                <w:rFonts w:hint="eastAsia"/>
                <w:color w:val="auto"/>
                <w:sz w:val="24"/>
                <w:lang w:eastAsia="zh-CN"/>
              </w:rPr>
              <w:t>广青环审</w:t>
            </w:r>
            <w:r>
              <w:rPr>
                <w:rFonts w:hint="eastAsia"/>
                <w:color w:val="auto"/>
                <w:sz w:val="24"/>
              </w:rPr>
              <w:t>［</w:t>
            </w:r>
            <w:r>
              <w:rPr>
                <w:rFonts w:ascii="Times New Roman" w:hAnsi="Times New Roman"/>
                <w:color w:val="auto"/>
                <w:sz w:val="24"/>
              </w:rPr>
              <w:t>20</w:t>
            </w:r>
            <w:r>
              <w:rPr>
                <w:rFonts w:hint="eastAsia"/>
                <w:color w:val="auto"/>
                <w:sz w:val="24"/>
                <w:lang w:val="en-US" w:eastAsia="zh-CN"/>
              </w:rPr>
              <w:t>24</w:t>
            </w:r>
            <w:r>
              <w:rPr>
                <w:rFonts w:hint="eastAsia"/>
                <w:color w:val="auto"/>
                <w:sz w:val="24"/>
              </w:rPr>
              <w:t>］</w:t>
            </w:r>
            <w:r>
              <w:rPr>
                <w:rFonts w:hint="eastAsia"/>
                <w:color w:val="auto"/>
                <w:sz w:val="24"/>
                <w:lang w:val="en-US" w:eastAsia="zh-CN"/>
              </w:rPr>
              <w:t>3</w:t>
            </w:r>
            <w:r>
              <w:rPr>
                <w:color w:val="auto"/>
                <w:sz w:val="24"/>
              </w:rPr>
              <w:t>号）</w:t>
            </w:r>
            <w:r>
              <w:rPr>
                <w:rFonts w:hint="eastAsia"/>
                <w:color w:val="auto"/>
                <w:sz w:val="24"/>
                <w:szCs w:val="24"/>
                <w:lang w:val="en-US" w:eastAsia="zh-CN"/>
              </w:rPr>
              <w:t>，同意该项目的建设。</w:t>
            </w:r>
          </w:p>
          <w:p w14:paraId="1111F6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rPr>
              <w:t>项目于</w:t>
            </w:r>
            <w:r>
              <w:rPr>
                <w:rFonts w:hint="eastAsia"/>
                <w:color w:val="auto"/>
                <w:sz w:val="24"/>
                <w:szCs w:val="24"/>
                <w:lang w:val="en-US" w:eastAsia="zh-CN"/>
              </w:rPr>
              <w:t>2024</w:t>
            </w:r>
            <w:r>
              <w:rPr>
                <w:rFonts w:hint="default"/>
                <w:color w:val="auto"/>
                <w:sz w:val="24"/>
                <w:szCs w:val="24"/>
              </w:rPr>
              <w:t>年</w:t>
            </w:r>
            <w:r>
              <w:rPr>
                <w:rFonts w:hint="eastAsia"/>
                <w:color w:val="auto"/>
                <w:sz w:val="24"/>
                <w:szCs w:val="24"/>
                <w:lang w:val="en-US" w:eastAsia="zh-CN"/>
              </w:rPr>
              <w:t>10</w:t>
            </w:r>
            <w:r>
              <w:rPr>
                <w:rFonts w:hint="default"/>
                <w:color w:val="auto"/>
                <w:sz w:val="24"/>
                <w:szCs w:val="24"/>
              </w:rPr>
              <w:t>月开工建设，</w:t>
            </w:r>
            <w:r>
              <w:rPr>
                <w:rFonts w:hint="eastAsia"/>
                <w:color w:val="auto"/>
                <w:sz w:val="24"/>
                <w:szCs w:val="24"/>
                <w:lang w:val="en-US" w:eastAsia="zh-CN"/>
              </w:rPr>
              <w:t>经项目布局设计、生产设备</w:t>
            </w:r>
            <w:r>
              <w:rPr>
                <w:rFonts w:hint="default"/>
                <w:color w:val="auto"/>
                <w:sz w:val="24"/>
                <w:szCs w:val="24"/>
                <w:lang w:val="en-US" w:eastAsia="zh-CN"/>
              </w:rPr>
              <w:t>安装调试</w:t>
            </w:r>
            <w:r>
              <w:rPr>
                <w:rFonts w:hint="eastAsia"/>
                <w:color w:val="auto"/>
                <w:sz w:val="24"/>
                <w:szCs w:val="24"/>
                <w:lang w:val="en-US" w:eastAsia="zh-CN"/>
              </w:rPr>
              <w:t>、环保设施建设</w:t>
            </w:r>
            <w:r>
              <w:rPr>
                <w:rFonts w:hint="default"/>
                <w:color w:val="auto"/>
                <w:sz w:val="24"/>
                <w:szCs w:val="24"/>
                <w:lang w:val="en-US" w:eastAsia="zh-CN"/>
              </w:rPr>
              <w:t>，</w:t>
            </w:r>
            <w:r>
              <w:rPr>
                <w:rFonts w:hint="eastAsia"/>
                <w:color w:val="auto"/>
                <w:sz w:val="24"/>
                <w:szCs w:val="24"/>
                <w:lang w:val="en-US" w:eastAsia="zh-CN"/>
              </w:rPr>
              <w:t>2025年5月完成了项目建设工作，具备了生产条件</w:t>
            </w:r>
            <w:r>
              <w:rPr>
                <w:rFonts w:hint="default"/>
                <w:color w:val="auto"/>
                <w:sz w:val="24"/>
                <w:szCs w:val="24"/>
                <w:lang w:val="en-US" w:eastAsia="zh-CN"/>
              </w:rPr>
              <w:t>。</w:t>
            </w:r>
          </w:p>
          <w:p w14:paraId="2DD7A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default"/>
                <w:color w:val="auto"/>
                <w:sz w:val="24"/>
                <w:szCs w:val="24"/>
              </w:rPr>
              <w:t>为完成</w:t>
            </w:r>
            <w:r>
              <w:rPr>
                <w:rFonts w:hint="eastAsia"/>
                <w:color w:val="auto"/>
                <w:sz w:val="24"/>
                <w:szCs w:val="24"/>
                <w:lang w:eastAsia="zh-CN"/>
              </w:rPr>
              <w:t>青川县餐厨垃圾无害化处理、资源化利用项目</w:t>
            </w:r>
            <w:r>
              <w:rPr>
                <w:rFonts w:hint="default"/>
                <w:color w:val="auto"/>
                <w:sz w:val="24"/>
                <w:szCs w:val="24"/>
              </w:rPr>
              <w:t>竣工环境保护验收，按</w:t>
            </w:r>
            <w:r>
              <w:rPr>
                <w:rFonts w:hint="default"/>
                <w:sz w:val="24"/>
                <w:szCs w:val="24"/>
              </w:rPr>
              <w:t>照《建设项目环境保护验收暂行办法》、《建设项目竣工环境保护验收技术指南 污染影响类》等行政法规和技术规范的规定和要求，公司成立了建设项目验收工作小组对该项目进行自主环保竣工验收，验收小组主要由</w:t>
            </w:r>
            <w:r>
              <w:rPr>
                <w:rFonts w:hint="eastAsia"/>
                <w:sz w:val="24"/>
                <w:szCs w:val="24"/>
                <w:lang w:val="en-US" w:eastAsia="zh-CN"/>
              </w:rPr>
              <w:t>企业负责人、</w:t>
            </w:r>
            <w:r>
              <w:rPr>
                <w:rFonts w:hint="default"/>
                <w:sz w:val="24"/>
                <w:szCs w:val="24"/>
              </w:rPr>
              <w:t>项目负责人、项目生产技术人员、广元市环境保护验收领域技术专家等组成。</w:t>
            </w:r>
          </w:p>
          <w:p w14:paraId="63950A6F">
            <w:pPr>
              <w:overflowPunct w:val="0"/>
              <w:topLinePunct/>
              <w:spacing w:line="360" w:lineRule="auto"/>
              <w:ind w:firstLine="480" w:firstLineChars="200"/>
              <w:rPr>
                <w:rFonts w:hint="default"/>
                <w:sz w:val="24"/>
                <w:szCs w:val="24"/>
              </w:rPr>
            </w:pPr>
            <w:r>
              <w:rPr>
                <w:rFonts w:hint="default"/>
                <w:sz w:val="24"/>
                <w:szCs w:val="24"/>
              </w:rPr>
              <w:t>20</w:t>
            </w:r>
            <w:r>
              <w:rPr>
                <w:rFonts w:hint="eastAsia"/>
                <w:sz w:val="24"/>
                <w:szCs w:val="24"/>
                <w:lang w:val="en-US" w:eastAsia="zh-CN"/>
              </w:rPr>
              <w:t>26</w:t>
            </w:r>
            <w:r>
              <w:rPr>
                <w:rFonts w:hint="default"/>
                <w:sz w:val="24"/>
                <w:szCs w:val="24"/>
              </w:rPr>
              <w:t>年</w:t>
            </w:r>
            <w:r>
              <w:rPr>
                <w:rFonts w:hint="eastAsia"/>
                <w:sz w:val="24"/>
                <w:szCs w:val="24"/>
                <w:lang w:val="en-US" w:eastAsia="zh-CN"/>
              </w:rPr>
              <w:t>6</w:t>
            </w:r>
            <w:r>
              <w:rPr>
                <w:rFonts w:hint="default"/>
                <w:sz w:val="24"/>
                <w:szCs w:val="24"/>
              </w:rPr>
              <w:t>月</w:t>
            </w:r>
            <w:r>
              <w:rPr>
                <w:rFonts w:hint="eastAsia"/>
                <w:sz w:val="24"/>
                <w:szCs w:val="24"/>
                <w:lang w:val="en-US" w:eastAsia="zh-CN"/>
              </w:rPr>
              <w:t>1</w:t>
            </w:r>
            <w:r>
              <w:rPr>
                <w:rFonts w:hint="default"/>
                <w:sz w:val="24"/>
                <w:szCs w:val="24"/>
              </w:rPr>
              <w:t>日</w:t>
            </w:r>
            <w:r>
              <w:rPr>
                <w:rFonts w:hint="default"/>
                <w:sz w:val="24"/>
                <w:szCs w:val="24"/>
                <w:lang w:val="en-US" w:eastAsia="zh-CN"/>
              </w:rPr>
              <w:t>-</w:t>
            </w:r>
            <w:r>
              <w:rPr>
                <w:rFonts w:hint="eastAsia"/>
                <w:sz w:val="24"/>
                <w:szCs w:val="24"/>
                <w:lang w:val="en-US" w:eastAsia="zh-CN"/>
              </w:rPr>
              <w:t xml:space="preserve"> 2</w:t>
            </w:r>
            <w:r>
              <w:rPr>
                <w:rFonts w:hint="default"/>
                <w:sz w:val="24"/>
                <w:szCs w:val="24"/>
              </w:rPr>
              <w:t>日，</w:t>
            </w:r>
            <w:r>
              <w:rPr>
                <w:rFonts w:hint="default"/>
                <w:sz w:val="24"/>
                <w:szCs w:val="24"/>
                <w:lang w:eastAsia="zh-CN"/>
              </w:rPr>
              <w:t>我公司委托</w:t>
            </w:r>
            <w:r>
              <w:rPr>
                <w:rFonts w:hint="eastAsia"/>
                <w:sz w:val="24"/>
                <w:szCs w:val="24"/>
                <w:lang w:val="en-US" w:eastAsia="zh-CN"/>
              </w:rPr>
              <w:t>四川恒宇环境节能检测有限公司</w:t>
            </w:r>
            <w:r>
              <w:rPr>
                <w:rFonts w:hint="default"/>
                <w:sz w:val="24"/>
                <w:szCs w:val="24"/>
              </w:rPr>
              <w:t>进行现场验收</w:t>
            </w:r>
            <w:r>
              <w:rPr>
                <w:rFonts w:hint="eastAsia"/>
                <w:sz w:val="24"/>
                <w:szCs w:val="24"/>
                <w:lang w:eastAsia="zh-CN"/>
              </w:rPr>
              <w:t>检测</w:t>
            </w:r>
            <w:r>
              <w:rPr>
                <w:rFonts w:hint="default"/>
                <w:sz w:val="24"/>
                <w:szCs w:val="24"/>
              </w:rPr>
              <w:t>，整理现场验收</w:t>
            </w:r>
            <w:r>
              <w:rPr>
                <w:rFonts w:hint="eastAsia"/>
                <w:sz w:val="24"/>
                <w:szCs w:val="24"/>
                <w:lang w:val="en-US" w:eastAsia="zh-CN"/>
              </w:rPr>
              <w:t>检测</w:t>
            </w:r>
            <w:r>
              <w:rPr>
                <w:rFonts w:hint="default"/>
                <w:sz w:val="24"/>
                <w:szCs w:val="24"/>
              </w:rPr>
              <w:t>数据后出具了验收</w:t>
            </w:r>
            <w:r>
              <w:rPr>
                <w:rFonts w:hint="eastAsia"/>
                <w:sz w:val="24"/>
                <w:szCs w:val="24"/>
                <w:lang w:val="en-US" w:eastAsia="zh-CN"/>
              </w:rPr>
              <w:t>检测报告</w:t>
            </w:r>
            <w:r>
              <w:rPr>
                <w:rFonts w:hint="default"/>
                <w:sz w:val="24"/>
                <w:szCs w:val="24"/>
              </w:rPr>
              <w:t>。</w:t>
            </w:r>
          </w:p>
          <w:p w14:paraId="67412A18">
            <w:pPr>
              <w:pStyle w:val="74"/>
              <w:bidi w:val="0"/>
              <w:spacing w:line="360" w:lineRule="auto"/>
              <w:ind w:left="0" w:leftChars="0" w:firstLine="480" w:firstLineChars="200"/>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(2)验收范围与内容</w:t>
            </w:r>
            <w:r>
              <w:rPr>
                <w:rFonts w:hint="default" w:ascii="Times New Roman" w:hAnsi="Times New Roman" w:eastAsia="宋体" w:cs="Times New Roman"/>
                <w:color w:val="auto"/>
                <w:kern w:val="2"/>
                <w:sz w:val="24"/>
                <w:szCs w:val="24"/>
                <w:lang w:val="en-US" w:eastAsia="zh-CN" w:bidi="ar-SA"/>
              </w:rPr>
              <w:t>：</w:t>
            </w:r>
          </w:p>
          <w:p w14:paraId="41483922">
            <w:pPr>
              <w:spacing w:before="48" w:beforeLines="20" w:line="360" w:lineRule="auto"/>
              <w:ind w:firstLine="480" w:firstLineChars="200"/>
              <w:rPr>
                <w:rFonts w:hint="default"/>
                <w:color w:val="auto"/>
                <w:sz w:val="24"/>
                <w:szCs w:val="24"/>
              </w:rPr>
            </w:pPr>
            <w:r>
              <w:rPr>
                <w:rFonts w:hint="default"/>
                <w:color w:val="auto"/>
                <w:sz w:val="24"/>
                <w:szCs w:val="24"/>
              </w:rPr>
              <w:t>项目验收范围有：主体工程、</w:t>
            </w:r>
            <w:r>
              <w:rPr>
                <w:rFonts w:hint="eastAsia"/>
                <w:color w:val="auto"/>
                <w:sz w:val="24"/>
                <w:szCs w:val="24"/>
                <w:lang w:eastAsia="zh-CN"/>
              </w:rPr>
              <w:t>配套</w:t>
            </w:r>
            <w:r>
              <w:rPr>
                <w:rFonts w:hint="default"/>
                <w:color w:val="auto"/>
                <w:sz w:val="24"/>
                <w:szCs w:val="24"/>
              </w:rPr>
              <w:t>工程、公用工程</w:t>
            </w:r>
            <w:r>
              <w:rPr>
                <w:rFonts w:hint="eastAsia"/>
                <w:color w:val="auto"/>
                <w:sz w:val="24"/>
                <w:szCs w:val="24"/>
                <w:lang w:eastAsia="zh-CN"/>
              </w:rPr>
              <w:t>和</w:t>
            </w:r>
            <w:r>
              <w:rPr>
                <w:rFonts w:hint="default"/>
                <w:color w:val="auto"/>
                <w:sz w:val="24"/>
                <w:szCs w:val="24"/>
              </w:rPr>
              <w:t>环保工程。</w:t>
            </w:r>
          </w:p>
          <w:p w14:paraId="15305F88">
            <w:pPr>
              <w:spacing w:before="48" w:beforeLines="20" w:line="360" w:lineRule="auto"/>
              <w:ind w:firstLine="480" w:firstLineChars="200"/>
              <w:rPr>
                <w:rFonts w:hint="default"/>
                <w:sz w:val="24"/>
                <w:szCs w:val="24"/>
              </w:rPr>
            </w:pPr>
            <w:r>
              <w:rPr>
                <w:rFonts w:hint="default"/>
                <w:sz w:val="24"/>
                <w:szCs w:val="24"/>
              </w:rPr>
              <w:t>验收</w:t>
            </w:r>
            <w:r>
              <w:rPr>
                <w:rFonts w:hint="eastAsia"/>
                <w:sz w:val="24"/>
                <w:szCs w:val="24"/>
                <w:lang w:eastAsia="zh-CN"/>
              </w:rPr>
              <w:t>检测</w:t>
            </w:r>
            <w:r>
              <w:rPr>
                <w:rFonts w:hint="default"/>
                <w:sz w:val="24"/>
                <w:szCs w:val="24"/>
              </w:rPr>
              <w:t>内容：</w:t>
            </w:r>
          </w:p>
          <w:p w14:paraId="4BE5B81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sz w:val="24"/>
                <w:szCs w:val="24"/>
              </w:rPr>
            </w:pPr>
            <w:r>
              <w:rPr>
                <w:rFonts w:hint="default"/>
                <w:sz w:val="24"/>
                <w:szCs w:val="24"/>
              </w:rPr>
              <w:t>（</w:t>
            </w:r>
            <w:r>
              <w:rPr>
                <w:rFonts w:hint="eastAsia"/>
                <w:sz w:val="24"/>
                <w:szCs w:val="24"/>
                <w:lang w:val="en-US" w:eastAsia="zh-CN"/>
              </w:rPr>
              <w:t>1</w:t>
            </w:r>
            <w:r>
              <w:rPr>
                <w:rFonts w:hint="default"/>
                <w:sz w:val="24"/>
                <w:szCs w:val="24"/>
              </w:rPr>
              <w:t>）废气处理处置检查</w:t>
            </w:r>
            <w:r>
              <w:rPr>
                <w:rFonts w:hint="eastAsia"/>
                <w:sz w:val="24"/>
                <w:szCs w:val="24"/>
                <w:lang w:eastAsia="zh-CN"/>
              </w:rPr>
              <w:t>及</w:t>
            </w:r>
            <w:r>
              <w:rPr>
                <w:rFonts w:hint="eastAsia"/>
                <w:sz w:val="24"/>
                <w:szCs w:val="24"/>
                <w:lang w:val="en-US" w:eastAsia="zh-CN"/>
              </w:rPr>
              <w:t>检测</w:t>
            </w:r>
            <w:r>
              <w:rPr>
                <w:rFonts w:hint="default"/>
                <w:sz w:val="24"/>
                <w:szCs w:val="24"/>
              </w:rPr>
              <w:t>；</w:t>
            </w:r>
          </w:p>
          <w:p w14:paraId="7DE9E01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sz w:val="24"/>
                <w:szCs w:val="24"/>
              </w:rPr>
            </w:pPr>
            <w:r>
              <w:rPr>
                <w:rFonts w:hint="default"/>
                <w:sz w:val="24"/>
                <w:szCs w:val="24"/>
              </w:rPr>
              <w:t>（2）噪声处理处置检查</w:t>
            </w:r>
            <w:r>
              <w:rPr>
                <w:rFonts w:hint="eastAsia"/>
                <w:sz w:val="24"/>
                <w:szCs w:val="24"/>
                <w:lang w:eastAsia="zh-CN"/>
              </w:rPr>
              <w:t>及</w:t>
            </w:r>
            <w:r>
              <w:rPr>
                <w:rFonts w:hint="eastAsia"/>
                <w:sz w:val="24"/>
                <w:szCs w:val="24"/>
                <w:lang w:val="en-US" w:eastAsia="zh-CN"/>
              </w:rPr>
              <w:t>检测</w:t>
            </w:r>
            <w:r>
              <w:rPr>
                <w:rFonts w:hint="default"/>
                <w:sz w:val="24"/>
                <w:szCs w:val="24"/>
              </w:rPr>
              <w:t>；</w:t>
            </w:r>
          </w:p>
          <w:p w14:paraId="4B7522A9">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sz w:val="24"/>
                <w:szCs w:val="24"/>
              </w:rPr>
            </w:pPr>
            <w:r>
              <w:rPr>
                <w:rFonts w:hint="default"/>
                <w:sz w:val="24"/>
                <w:szCs w:val="24"/>
              </w:rPr>
              <w:t>（3）废水处理处置检查</w:t>
            </w:r>
            <w:r>
              <w:rPr>
                <w:rFonts w:hint="eastAsia"/>
                <w:sz w:val="24"/>
                <w:szCs w:val="24"/>
                <w:lang w:eastAsia="zh-CN"/>
              </w:rPr>
              <w:t>及</w:t>
            </w:r>
            <w:r>
              <w:rPr>
                <w:rFonts w:hint="eastAsia"/>
                <w:sz w:val="24"/>
                <w:szCs w:val="24"/>
                <w:lang w:val="en-US" w:eastAsia="zh-CN"/>
              </w:rPr>
              <w:t>检测</w:t>
            </w:r>
            <w:r>
              <w:rPr>
                <w:rFonts w:hint="default"/>
                <w:sz w:val="24"/>
                <w:szCs w:val="24"/>
              </w:rPr>
              <w:t>；</w:t>
            </w:r>
          </w:p>
          <w:p w14:paraId="56B4859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sz w:val="24"/>
                <w:szCs w:val="24"/>
              </w:rPr>
            </w:pPr>
            <w:r>
              <w:rPr>
                <w:rFonts w:hint="default"/>
                <w:sz w:val="24"/>
                <w:szCs w:val="24"/>
              </w:rPr>
              <w:t xml:space="preserve">（4）固体废物处理处置检查； </w:t>
            </w:r>
          </w:p>
          <w:p w14:paraId="1902718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sz w:val="24"/>
                <w:szCs w:val="24"/>
              </w:rPr>
            </w:pPr>
            <w:r>
              <w:rPr>
                <w:rFonts w:hint="default"/>
                <w:sz w:val="24"/>
                <w:szCs w:val="24"/>
              </w:rPr>
              <w:t>（</w:t>
            </w:r>
            <w:r>
              <w:rPr>
                <w:rFonts w:hint="eastAsia"/>
                <w:sz w:val="24"/>
                <w:szCs w:val="24"/>
                <w:lang w:val="en-US" w:eastAsia="zh-CN"/>
              </w:rPr>
              <w:t>5</w:t>
            </w:r>
            <w:r>
              <w:rPr>
                <w:rFonts w:hint="default"/>
                <w:sz w:val="24"/>
                <w:szCs w:val="24"/>
              </w:rPr>
              <w:t>）公众意见调查；</w:t>
            </w:r>
          </w:p>
          <w:p w14:paraId="0FB8425D">
            <w:pPr>
              <w:pStyle w:val="22"/>
              <w:ind w:firstLine="480" w:firstLineChars="200"/>
              <w:jc w:val="both"/>
              <w:rPr>
                <w:rFonts w:hint="default"/>
                <w:sz w:val="24"/>
                <w:szCs w:val="24"/>
              </w:rPr>
            </w:pPr>
            <w:r>
              <w:rPr>
                <w:rFonts w:hint="default"/>
                <w:sz w:val="24"/>
                <w:szCs w:val="24"/>
              </w:rPr>
              <w:t>（</w:t>
            </w:r>
            <w:r>
              <w:rPr>
                <w:rFonts w:hint="eastAsia"/>
                <w:sz w:val="24"/>
                <w:szCs w:val="24"/>
                <w:lang w:val="en-US" w:eastAsia="zh-CN"/>
              </w:rPr>
              <w:t>6</w:t>
            </w:r>
            <w:r>
              <w:rPr>
                <w:rFonts w:hint="default"/>
                <w:sz w:val="24"/>
                <w:szCs w:val="24"/>
              </w:rPr>
              <w:t>）环境管理检查</w:t>
            </w:r>
          </w:p>
          <w:p w14:paraId="1143C77C">
            <w:pPr>
              <w:rPr>
                <w:rFonts w:hint="default"/>
                <w:sz w:val="24"/>
                <w:szCs w:val="24"/>
              </w:rPr>
            </w:pPr>
          </w:p>
          <w:p w14:paraId="571B5D27">
            <w:pPr>
              <w:rPr>
                <w:rFonts w:hint="default"/>
                <w:sz w:val="24"/>
                <w:szCs w:val="24"/>
              </w:rPr>
            </w:pPr>
          </w:p>
          <w:p w14:paraId="519E4A94">
            <w:pPr>
              <w:rPr>
                <w:rFonts w:hint="default"/>
                <w:sz w:val="24"/>
                <w:szCs w:val="24"/>
              </w:rPr>
            </w:pPr>
          </w:p>
          <w:p w14:paraId="33E377B4">
            <w:pPr>
              <w:rPr>
                <w:rFonts w:hint="default"/>
                <w:sz w:val="24"/>
                <w:szCs w:val="24"/>
              </w:rPr>
            </w:pPr>
          </w:p>
          <w:p w14:paraId="78F99378">
            <w:pPr>
              <w:rPr>
                <w:rFonts w:hint="default"/>
                <w:sz w:val="24"/>
                <w:szCs w:val="24"/>
              </w:rPr>
            </w:pPr>
          </w:p>
          <w:p w14:paraId="321BCE86">
            <w:pPr>
              <w:rPr>
                <w:rFonts w:hint="default"/>
                <w:sz w:val="24"/>
                <w:szCs w:val="24"/>
              </w:rPr>
            </w:pPr>
          </w:p>
          <w:p w14:paraId="4B1B9C54">
            <w:pPr>
              <w:rPr>
                <w:rFonts w:hint="default"/>
                <w:sz w:val="24"/>
                <w:szCs w:val="24"/>
              </w:rPr>
            </w:pPr>
          </w:p>
          <w:p w14:paraId="7338FCBB">
            <w:pPr>
              <w:rPr>
                <w:rFonts w:hint="default"/>
                <w:sz w:val="24"/>
                <w:szCs w:val="24"/>
              </w:rPr>
            </w:pPr>
          </w:p>
          <w:p w14:paraId="63B5F0C3">
            <w:pPr>
              <w:rPr>
                <w:rFonts w:hint="default"/>
                <w:sz w:val="24"/>
                <w:szCs w:val="24"/>
              </w:rPr>
            </w:pPr>
          </w:p>
          <w:p w14:paraId="48A02DB8">
            <w:pPr>
              <w:rPr>
                <w:rFonts w:hint="default"/>
                <w:sz w:val="24"/>
                <w:szCs w:val="24"/>
              </w:rPr>
            </w:pPr>
          </w:p>
          <w:p w14:paraId="11848DE3">
            <w:pPr>
              <w:rPr>
                <w:rFonts w:hint="default"/>
                <w:sz w:val="24"/>
                <w:szCs w:val="24"/>
              </w:rPr>
            </w:pPr>
          </w:p>
          <w:p w14:paraId="2520BC8E">
            <w:pPr>
              <w:rPr>
                <w:rFonts w:hint="default"/>
                <w:sz w:val="24"/>
                <w:szCs w:val="24"/>
              </w:rPr>
            </w:pPr>
          </w:p>
          <w:p w14:paraId="32A9B407">
            <w:pPr>
              <w:rPr>
                <w:rFonts w:hint="default"/>
                <w:sz w:val="24"/>
                <w:szCs w:val="24"/>
              </w:rPr>
            </w:pPr>
          </w:p>
          <w:p w14:paraId="349062C9">
            <w:pPr>
              <w:rPr>
                <w:rFonts w:hint="default"/>
                <w:sz w:val="24"/>
                <w:szCs w:val="24"/>
              </w:rPr>
            </w:pPr>
          </w:p>
          <w:p w14:paraId="0367EDC0">
            <w:pPr>
              <w:rPr>
                <w:rFonts w:hint="default"/>
                <w:sz w:val="24"/>
                <w:szCs w:val="24"/>
              </w:rPr>
            </w:pPr>
          </w:p>
          <w:p w14:paraId="775647EA">
            <w:pPr>
              <w:rPr>
                <w:rFonts w:hint="default"/>
                <w:sz w:val="24"/>
                <w:szCs w:val="24"/>
              </w:rPr>
            </w:pPr>
          </w:p>
          <w:p w14:paraId="33055586">
            <w:pPr>
              <w:rPr>
                <w:rFonts w:hint="default"/>
                <w:sz w:val="24"/>
                <w:szCs w:val="24"/>
              </w:rPr>
            </w:pPr>
          </w:p>
          <w:p w14:paraId="31C778ED">
            <w:pPr>
              <w:rPr>
                <w:rFonts w:hint="default"/>
                <w:sz w:val="24"/>
                <w:szCs w:val="24"/>
              </w:rPr>
            </w:pPr>
          </w:p>
          <w:p w14:paraId="0FAAF687">
            <w:pPr>
              <w:rPr>
                <w:rFonts w:hint="default"/>
                <w:sz w:val="24"/>
                <w:szCs w:val="24"/>
              </w:rPr>
            </w:pPr>
          </w:p>
          <w:p w14:paraId="52A55227">
            <w:pPr>
              <w:rPr>
                <w:rFonts w:hint="default"/>
                <w:sz w:val="24"/>
                <w:szCs w:val="24"/>
              </w:rPr>
            </w:pPr>
          </w:p>
          <w:p w14:paraId="254CA29A">
            <w:pPr>
              <w:rPr>
                <w:rFonts w:hint="default"/>
                <w:sz w:val="24"/>
                <w:szCs w:val="24"/>
              </w:rPr>
            </w:pPr>
          </w:p>
          <w:p w14:paraId="54DFE62B">
            <w:pPr>
              <w:overflowPunct w:val="0"/>
              <w:topLinePunct/>
              <w:spacing w:line="360" w:lineRule="auto"/>
              <w:rPr>
                <w:rFonts w:hint="eastAsia" w:ascii="Times New Roman" w:hAnsi="Times New Roman" w:eastAsia="宋体" w:cs="Times New Roman"/>
                <w:b/>
                <w:bCs/>
                <w:kern w:val="2"/>
                <w:sz w:val="28"/>
                <w:szCs w:val="32"/>
                <w:lang w:val="en-US" w:eastAsia="zh-CN" w:bidi="ar-SA"/>
              </w:rPr>
            </w:pPr>
          </w:p>
          <w:p w14:paraId="1AB7CAF3">
            <w:pPr>
              <w:overflowPunct w:val="0"/>
              <w:topLinePunct/>
              <w:spacing w:line="360" w:lineRule="auto"/>
              <w:rPr>
                <w:rFonts w:hint="default" w:ascii="Times New Roman" w:hAnsi="Times New Roman" w:eastAsia="宋体" w:cs="Times New Roman"/>
                <w:b/>
                <w:bCs/>
                <w:kern w:val="2"/>
                <w:sz w:val="28"/>
                <w:szCs w:val="32"/>
                <w:lang w:val="en-US" w:eastAsia="zh-CN" w:bidi="ar-SA"/>
              </w:rPr>
            </w:pPr>
            <w:r>
              <w:rPr>
                <w:rFonts w:hint="eastAsia" w:ascii="Times New Roman" w:hAnsi="Times New Roman" w:eastAsia="宋体" w:cs="Times New Roman"/>
                <w:b/>
                <w:bCs/>
                <w:kern w:val="2"/>
                <w:sz w:val="28"/>
                <w:szCs w:val="32"/>
                <w:lang w:val="en-US" w:eastAsia="zh-CN" w:bidi="ar-SA"/>
              </w:rPr>
              <w:t>2、项目建设情况</w:t>
            </w:r>
          </w:p>
          <w:p w14:paraId="7BDD1F99">
            <w:pPr>
              <w:numPr>
                <w:ilvl w:val="0"/>
                <w:numId w:val="0"/>
              </w:numPr>
              <w:spacing w:line="360" w:lineRule="auto"/>
              <w:rPr>
                <w:rFonts w:hint="eastAsia"/>
                <w:sz w:val="24"/>
                <w:szCs w:val="24"/>
                <w:lang w:val="en-US" w:eastAsia="zh-CN"/>
              </w:rPr>
            </w:pPr>
            <w:r>
              <w:rPr>
                <w:rFonts w:hint="eastAsia"/>
                <w:sz w:val="24"/>
                <w:szCs w:val="24"/>
                <w:lang w:val="en-US" w:eastAsia="zh-CN"/>
              </w:rPr>
              <w:t>（1）项目地理位置及</w:t>
            </w:r>
            <w:r>
              <w:rPr>
                <w:rFonts w:hint="default"/>
                <w:sz w:val="24"/>
                <w:szCs w:val="24"/>
              </w:rPr>
              <w:t>总平面布置：</w:t>
            </w:r>
          </w:p>
          <w:p w14:paraId="332C3F0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本</w:t>
            </w:r>
            <w:r>
              <w:rPr>
                <w:rFonts w:hint="eastAsia" w:ascii="Times New Roman" w:hAnsi="Times New Roman" w:eastAsia="宋体" w:cs="Times New Roman"/>
                <w:sz w:val="24"/>
                <w:szCs w:val="24"/>
                <w:lang w:val="en-US" w:eastAsia="zh-CN"/>
              </w:rPr>
              <w:t>项目位于</w:t>
            </w:r>
            <w:r>
              <w:rPr>
                <w:rFonts w:hint="eastAsia" w:hAnsi="宋体"/>
                <w:color w:val="000000"/>
                <w:sz w:val="24"/>
                <w:lang w:eastAsia="zh-CN"/>
              </w:rPr>
              <w:t>广元市青川县乔庄镇黄坪社区秧田湾</w:t>
            </w:r>
            <w:r>
              <w:rPr>
                <w:rFonts w:hint="eastAsia" w:cs="Times New Roman"/>
                <w:sz w:val="24"/>
                <w:szCs w:val="24"/>
                <w:lang w:val="en-US" w:eastAsia="zh-CN"/>
              </w:rPr>
              <w:t>（地理位置图见附图1）</w:t>
            </w:r>
            <w:r>
              <w:rPr>
                <w:rFonts w:hint="eastAsia" w:ascii="Times New Roman" w:hAnsi="Times New Roman" w:eastAsia="宋体" w:cs="Times New Roman"/>
                <w:sz w:val="24"/>
                <w:szCs w:val="24"/>
                <w:lang w:val="en-US" w:eastAsia="zh-CN"/>
              </w:rPr>
              <w:t>，项目整个用地呈</w:t>
            </w:r>
            <w:r>
              <w:rPr>
                <w:rFonts w:hint="eastAsia" w:cs="Times New Roman"/>
                <w:sz w:val="24"/>
                <w:szCs w:val="24"/>
                <w:lang w:val="en-US" w:eastAsia="zh-CN"/>
              </w:rPr>
              <w:t>不</w:t>
            </w:r>
            <w:r>
              <w:rPr>
                <w:rFonts w:hint="eastAsia" w:ascii="Times New Roman" w:hAnsi="Times New Roman" w:eastAsia="宋体" w:cs="Times New Roman"/>
                <w:sz w:val="24"/>
                <w:szCs w:val="24"/>
                <w:lang w:val="en-US" w:eastAsia="zh-CN"/>
              </w:rPr>
              <w:t>规则的矩形，根据项目总平面布置图可知，项目</w:t>
            </w:r>
            <w:r>
              <w:rPr>
                <w:rFonts w:hint="eastAsia" w:cs="Times New Roman"/>
                <w:sz w:val="24"/>
                <w:szCs w:val="24"/>
                <w:lang w:val="en-US" w:eastAsia="zh-CN"/>
              </w:rPr>
              <w:t>厂</w:t>
            </w:r>
            <w:r>
              <w:rPr>
                <w:rFonts w:hint="eastAsia" w:ascii="Times New Roman" w:hAnsi="Times New Roman" w:eastAsia="宋体" w:cs="Times New Roman"/>
                <w:sz w:val="24"/>
                <w:szCs w:val="24"/>
                <w:lang w:val="en-US" w:eastAsia="zh-CN"/>
              </w:rPr>
              <w:t>内主要分布为</w:t>
            </w:r>
            <w:r>
              <w:rPr>
                <w:rFonts w:hint="eastAsia"/>
                <w:bCs/>
                <w:sz w:val="24"/>
              </w:rPr>
              <w:t>计量室及门卫、餐厨垃圾处理车间、附属用房（包括热水炉房、工具间、修理间、杂物间、一般固废暂存间）、臭气处理系统、厌氧发酵与沼气净化系统、污水处理系统等。</w:t>
            </w:r>
          </w:p>
          <w:p w14:paraId="75FD087B">
            <w:pPr>
              <w:adjustRightInd w:val="0"/>
              <w:snapToGrid w:val="0"/>
              <w:spacing w:line="360" w:lineRule="auto"/>
              <w:ind w:firstLine="480" w:firstLineChars="200"/>
              <w:rPr>
                <w:rFonts w:hint="default"/>
                <w:sz w:val="24"/>
                <w:szCs w:val="24"/>
                <w:lang w:val="en-US" w:eastAsia="zh-CN"/>
              </w:rPr>
            </w:pPr>
            <w:r>
              <w:rPr>
                <w:rFonts w:hint="eastAsia"/>
                <w:bCs/>
                <w:sz w:val="24"/>
              </w:rPr>
              <w:t>厂区南北向设置，厂区生产区域均位于北侧方向，办公生活及小车位等位于南侧，生产生活功能分区基本独立设置。厂区北侧开设物流出入口，靠近餐厨垃圾处理间，在物料进入厂区后可以第一时间进入接料斗；然后餐厨垃圾沼液发酵与沼气净化区设置在餐厨垃圾处理车间南侧，与餐厨垃圾处理车间中三相分离机相邻，方便生产线的布置。本项目厂界为起点外延200m内主要为道路、空地、垃圾填埋场等，无敏感点，布局合理。</w:t>
            </w:r>
            <w:r>
              <w:rPr>
                <w:rFonts w:hint="eastAsia" w:ascii="Times New Roman" w:hAnsi="Times New Roman" w:cs="Times New Roman"/>
                <w:sz w:val="24"/>
                <w:szCs w:val="24"/>
                <w:lang w:val="en-US" w:eastAsia="zh-CN"/>
              </w:rPr>
              <w:t>厂区总平面布置示意图见附图3。</w:t>
            </w:r>
          </w:p>
          <w:p w14:paraId="7D84676B">
            <w:pPr>
              <w:pStyle w:val="74"/>
              <w:numPr>
                <w:ilvl w:val="0"/>
                <w:numId w:val="0"/>
              </w:numPr>
              <w:bidi w:val="0"/>
              <w:spacing w:line="360" w:lineRule="auto"/>
              <w:ind w:leftChars="0" w:right="113" w:rightChars="0"/>
              <w:jc w:val="both"/>
              <w:rPr>
                <w:rFonts w:hint="default"/>
                <w:sz w:val="24"/>
                <w:szCs w:val="24"/>
              </w:rPr>
            </w:pPr>
            <w:r>
              <w:rPr>
                <w:rFonts w:hint="eastAsia"/>
                <w:sz w:val="24"/>
                <w:szCs w:val="24"/>
                <w:lang w:val="en-US" w:eastAsia="zh-CN"/>
              </w:rPr>
              <w:t>2、</w:t>
            </w:r>
            <w:r>
              <w:rPr>
                <w:rFonts w:hint="default"/>
                <w:sz w:val="24"/>
                <w:szCs w:val="24"/>
              </w:rPr>
              <w:t>项目外环境关系：</w:t>
            </w:r>
          </w:p>
          <w:p w14:paraId="6B41530D">
            <w:pPr>
              <w:adjustRightInd w:val="0"/>
              <w:snapToGrid w:val="0"/>
              <w:spacing w:line="360" w:lineRule="auto"/>
              <w:ind w:firstLine="480" w:firstLineChars="200"/>
              <w:rPr>
                <w:rFonts w:hint="default"/>
                <w:sz w:val="24"/>
                <w:szCs w:val="24"/>
                <w:lang w:val="en-US" w:eastAsia="zh-CN"/>
              </w:rPr>
            </w:pPr>
            <w:r>
              <w:rPr>
                <w:rFonts w:hint="eastAsia"/>
                <w:bCs/>
                <w:sz w:val="24"/>
              </w:rPr>
              <w:t>本项目位于广元市青川县乔庄镇秧田湾，项目所在地外围400m范围内没有环境敏感点，位置相对独立。其北面20m左右为青川县生活垃圾填埋场的填埋区域，西面18m为生活垃圾填埋场垃圾渗滤液处理厂、190m左右青川县医废处置中心。考虑到本项目工作人员的工作环境，将办公生活区域设置在南侧相对远离垃圾填埋场位置；而主要生产区域更集中设置在厂内北侧，对平面布局更加合理。</w:t>
            </w:r>
            <w:r>
              <w:rPr>
                <w:rFonts w:hint="default"/>
                <w:sz w:val="24"/>
                <w:szCs w:val="24"/>
                <w:lang w:val="en-US" w:eastAsia="zh-CN"/>
              </w:rPr>
              <w:t>（外环境关系见附图</w:t>
            </w:r>
            <w:r>
              <w:rPr>
                <w:rFonts w:hint="eastAsia"/>
                <w:sz w:val="24"/>
                <w:szCs w:val="24"/>
                <w:lang w:val="en-US" w:eastAsia="zh-CN"/>
              </w:rPr>
              <w:t>2</w:t>
            </w:r>
            <w:r>
              <w:rPr>
                <w:rFonts w:hint="default"/>
                <w:sz w:val="24"/>
                <w:szCs w:val="24"/>
                <w:lang w:val="en-US" w:eastAsia="zh-CN"/>
              </w:rPr>
              <w:t>）</w:t>
            </w:r>
          </w:p>
          <w:p w14:paraId="3473440B">
            <w:pPr>
              <w:numPr>
                <w:ilvl w:val="0"/>
                <w:numId w:val="0"/>
              </w:numPr>
              <w:autoSpaceDE w:val="0"/>
              <w:autoSpaceDN w:val="0"/>
              <w:adjustRightInd w:val="0"/>
              <w:spacing w:line="360" w:lineRule="auto"/>
              <w:ind w:leftChars="0"/>
              <w:jc w:val="left"/>
              <w:textAlignment w:val="baseline"/>
              <w:rPr>
                <w:rFonts w:hint="default"/>
                <w:sz w:val="24"/>
                <w:szCs w:val="24"/>
              </w:rPr>
            </w:pPr>
            <w:r>
              <w:rPr>
                <w:rFonts w:hint="eastAsia"/>
                <w:sz w:val="28"/>
                <w:szCs w:val="28"/>
                <w:lang w:val="en-US" w:eastAsia="zh-CN"/>
              </w:rPr>
              <w:t>3</w:t>
            </w:r>
            <w:r>
              <w:rPr>
                <w:rFonts w:hint="eastAsia"/>
                <w:sz w:val="24"/>
                <w:szCs w:val="24"/>
                <w:lang w:val="en-US" w:eastAsia="zh-CN"/>
              </w:rPr>
              <w:t>、</w:t>
            </w:r>
            <w:r>
              <w:rPr>
                <w:rFonts w:hint="default"/>
                <w:sz w:val="24"/>
                <w:szCs w:val="24"/>
              </w:rPr>
              <w:t>工程建设内容：</w:t>
            </w:r>
          </w:p>
          <w:p w14:paraId="4A083BD3">
            <w:pPr>
              <w:keepNext w:val="0"/>
              <w:keepLines w:val="0"/>
              <w:suppressLineNumbers w:val="0"/>
              <w:spacing w:before="0" w:beforeAutospacing="0" w:after="0" w:afterAutospacing="0" w:line="360" w:lineRule="auto"/>
              <w:ind w:right="0" w:firstLine="480" w:firstLineChars="200"/>
              <w:jc w:val="left"/>
              <w:rPr>
                <w:rFonts w:hint="eastAsia"/>
                <w:sz w:val="24"/>
                <w:szCs w:val="24"/>
                <w:lang w:val="en-US" w:eastAsia="zh-CN"/>
              </w:rPr>
            </w:pPr>
            <w:r>
              <w:rPr>
                <w:rFonts w:hint="eastAsia"/>
                <w:sz w:val="24"/>
                <w:szCs w:val="24"/>
                <w:lang w:val="en-US" w:eastAsia="zh-CN"/>
              </w:rPr>
              <w:t>项目名称：</w:t>
            </w:r>
            <w:r>
              <w:rPr>
                <w:rFonts w:hint="eastAsia"/>
                <w:sz w:val="24"/>
                <w:szCs w:val="24"/>
                <w:lang w:eastAsia="zh-CN"/>
              </w:rPr>
              <w:t>青川县餐厨垃圾无害化处理、资源化利用项目</w:t>
            </w:r>
          </w:p>
          <w:p w14:paraId="2D30157B">
            <w:pPr>
              <w:keepNext w:val="0"/>
              <w:keepLines w:val="0"/>
              <w:suppressLineNumbers w:val="0"/>
              <w:spacing w:before="0" w:beforeAutospacing="0" w:after="0" w:afterAutospacing="0" w:line="360" w:lineRule="auto"/>
              <w:ind w:right="0" w:firstLine="480" w:firstLineChars="200"/>
              <w:jc w:val="left"/>
              <w:rPr>
                <w:rFonts w:hint="eastAsia"/>
                <w:sz w:val="24"/>
                <w:szCs w:val="24"/>
                <w:lang w:val="zh-CN" w:eastAsia="zh-CN"/>
              </w:rPr>
            </w:pPr>
            <w:r>
              <w:rPr>
                <w:rFonts w:hint="eastAsia"/>
                <w:sz w:val="24"/>
                <w:szCs w:val="24"/>
                <w:lang w:val="en-US" w:eastAsia="zh-CN"/>
              </w:rPr>
              <w:t>建设单位：</w:t>
            </w:r>
            <w:r>
              <w:rPr>
                <w:rFonts w:hint="eastAsia" w:ascii="Times New Roman" w:hAnsi="Times New Roman" w:cs="Times New Roman"/>
                <w:color w:val="auto"/>
                <w:sz w:val="24"/>
                <w:szCs w:val="24"/>
                <w:u w:val="none"/>
              </w:rPr>
              <w:t>广元伟利森环保工程有限公司</w:t>
            </w:r>
            <w:r>
              <w:rPr>
                <w:rFonts w:hint="eastAsia" w:ascii="Times New Roman" w:hAnsi="Times New Roman" w:cs="Times New Roman"/>
                <w:color w:val="auto"/>
                <w:sz w:val="24"/>
                <w:szCs w:val="24"/>
                <w:u w:val="none"/>
                <w:lang w:val="en-US" w:eastAsia="zh-CN"/>
              </w:rPr>
              <w:t xml:space="preserve"> </w:t>
            </w:r>
          </w:p>
          <w:p w14:paraId="1D37EA2D">
            <w:pPr>
              <w:keepNext w:val="0"/>
              <w:keepLines w:val="0"/>
              <w:suppressLineNumbers w:val="0"/>
              <w:spacing w:before="0" w:beforeAutospacing="0" w:after="0" w:afterAutospacing="0" w:line="360" w:lineRule="auto"/>
              <w:ind w:right="0" w:firstLine="480" w:firstLineChars="200"/>
              <w:jc w:val="left"/>
              <w:rPr>
                <w:rFonts w:hint="eastAsia"/>
                <w:sz w:val="24"/>
                <w:szCs w:val="24"/>
                <w:lang w:val="en-US" w:eastAsia="zh-CN"/>
              </w:rPr>
            </w:pPr>
            <w:r>
              <w:rPr>
                <w:rFonts w:hint="eastAsia"/>
                <w:sz w:val="24"/>
                <w:szCs w:val="24"/>
                <w:lang w:val="en-US" w:eastAsia="zh-CN"/>
              </w:rPr>
              <w:t>项目性质：新建</w:t>
            </w:r>
          </w:p>
          <w:p w14:paraId="5D7F9BE1">
            <w:pPr>
              <w:keepNext w:val="0"/>
              <w:keepLines w:val="0"/>
              <w:suppressLineNumbers w:val="0"/>
              <w:spacing w:before="0" w:beforeAutospacing="0" w:after="0" w:afterAutospacing="0" w:line="360" w:lineRule="auto"/>
              <w:ind w:right="0" w:firstLine="480" w:firstLineChars="200"/>
              <w:jc w:val="left"/>
              <w:rPr>
                <w:rFonts w:hint="default"/>
                <w:sz w:val="24"/>
                <w:szCs w:val="24"/>
                <w:lang w:val="en-US" w:eastAsia="zh-CN"/>
              </w:rPr>
            </w:pPr>
            <w:r>
              <w:rPr>
                <w:rFonts w:hint="eastAsia"/>
                <w:sz w:val="24"/>
                <w:szCs w:val="24"/>
                <w:lang w:val="en-US" w:eastAsia="zh-CN"/>
              </w:rPr>
              <w:t>建设内容：</w:t>
            </w:r>
            <w:r>
              <w:rPr>
                <w:rFonts w:hint="eastAsia" w:hAnsi="宋体"/>
                <w:sz w:val="24"/>
              </w:rPr>
              <w:t>项目总占地面积2562.06平方米，新建日处理能力20吨的厨余垃圾处理车间1座，采用“预处理+湿式中温厌氧发酵+生物质气体能源化利用”的技术路线，建设餐厨垃圾预处理系统、厌氧发酵和沼气净化系统、沼气利用系统、臭气处理系统、废水处理系统等。配套附属用房1座，门卫室1座,消防水池1座及相关配套设施设备。</w:t>
            </w:r>
            <w:r>
              <w:rPr>
                <w:rFonts w:hint="default"/>
                <w:sz w:val="24"/>
                <w:szCs w:val="24"/>
                <w:lang w:val="en-US" w:eastAsia="zh-CN"/>
              </w:rPr>
              <w:t>项目组成情况对照见表2-1，项目主要设备一览表见表2-2。</w:t>
            </w:r>
          </w:p>
          <w:p w14:paraId="3F3778D1">
            <w:pPr>
              <w:keepNext w:val="0"/>
              <w:keepLines w:val="0"/>
              <w:suppressLineNumbers w:val="0"/>
              <w:spacing w:before="0" w:beforeAutospacing="0" w:after="0" w:afterAutospacing="0" w:line="360" w:lineRule="auto"/>
              <w:ind w:right="0" w:firstLine="480" w:firstLineChars="200"/>
              <w:jc w:val="left"/>
              <w:rPr>
                <w:rFonts w:hint="default"/>
                <w:b/>
                <w:bCs/>
                <w:sz w:val="24"/>
                <w:szCs w:val="24"/>
              </w:rPr>
            </w:pPr>
            <w:r>
              <w:rPr>
                <w:rFonts w:hint="default"/>
                <w:sz w:val="24"/>
                <w:szCs w:val="24"/>
                <w:lang w:val="en-US" w:eastAsia="zh-CN"/>
              </w:rPr>
              <w:t>劳动定员及工作制度：</w:t>
            </w:r>
            <w:r>
              <w:rPr>
                <w:rFonts w:hint="eastAsia"/>
                <w:sz w:val="24"/>
                <w:szCs w:val="24"/>
                <w:lang w:val="en-US" w:eastAsia="zh-CN"/>
              </w:rPr>
              <w:t>企业定员7人，每班工作时间为8小时，生产岗位为一班制，全年工作</w:t>
            </w:r>
            <w:r>
              <w:rPr>
                <w:rFonts w:hint="default"/>
                <w:sz w:val="24"/>
                <w:szCs w:val="24"/>
                <w:lang w:val="en-US" w:eastAsia="zh-CN"/>
              </w:rPr>
              <w:t>3</w:t>
            </w:r>
            <w:r>
              <w:rPr>
                <w:rFonts w:hint="eastAsia"/>
                <w:sz w:val="24"/>
                <w:szCs w:val="24"/>
                <w:lang w:val="en-US" w:eastAsia="zh-CN"/>
              </w:rPr>
              <w:t>65天</w:t>
            </w:r>
            <w:r>
              <w:rPr>
                <w:rFonts w:hint="default"/>
                <w:sz w:val="24"/>
                <w:szCs w:val="24"/>
                <w:lang w:val="en-US" w:eastAsia="zh-CN"/>
              </w:rPr>
              <w:t>。</w:t>
            </w:r>
          </w:p>
          <w:p w14:paraId="0D6D606D">
            <w:pPr>
              <w:spacing w:line="240" w:lineRule="auto"/>
              <w:jc w:val="center"/>
              <w:rPr>
                <w:rFonts w:hint="default"/>
                <w:b/>
                <w:bCs/>
                <w:sz w:val="24"/>
                <w:szCs w:val="24"/>
              </w:rPr>
            </w:pPr>
            <w:r>
              <w:rPr>
                <w:rFonts w:hint="default"/>
                <w:b/>
                <w:bCs/>
                <w:sz w:val="24"/>
                <w:szCs w:val="24"/>
              </w:rPr>
              <w:t>表2-1  项目组成情况对照表</w:t>
            </w:r>
          </w:p>
          <w:tbl>
            <w:tblPr>
              <w:tblStyle w:val="33"/>
              <w:tblW w:w="10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928"/>
              <w:gridCol w:w="2692"/>
              <w:gridCol w:w="2640"/>
              <w:gridCol w:w="845"/>
              <w:gridCol w:w="1767"/>
              <w:gridCol w:w="861"/>
            </w:tblGrid>
            <w:tr w14:paraId="2F3B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88" w:type="dxa"/>
                  <w:noWrap w:val="0"/>
                  <w:vAlign w:val="center"/>
                </w:tcPr>
                <w:p w14:paraId="258E2C0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default"/>
                      <w:color w:val="auto"/>
                    </w:rPr>
                    <w:t>名称</w:t>
                  </w:r>
                </w:p>
              </w:tc>
              <w:tc>
                <w:tcPr>
                  <w:tcW w:w="3620" w:type="dxa"/>
                  <w:gridSpan w:val="2"/>
                  <w:noWrap w:val="0"/>
                  <w:vAlign w:val="center"/>
                </w:tcPr>
                <w:p w14:paraId="73E952E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default"/>
                      <w:color w:val="auto"/>
                    </w:rPr>
                    <w:t>环评设计建设内容及规模</w:t>
                  </w:r>
                </w:p>
              </w:tc>
              <w:tc>
                <w:tcPr>
                  <w:tcW w:w="2640" w:type="dxa"/>
                  <w:noWrap w:val="0"/>
                  <w:vAlign w:val="center"/>
                </w:tcPr>
                <w:p w14:paraId="123F899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default"/>
                      <w:color w:val="auto"/>
                    </w:rPr>
                    <w:t>实际建设情况</w:t>
                  </w:r>
                </w:p>
              </w:tc>
              <w:tc>
                <w:tcPr>
                  <w:tcW w:w="845" w:type="dxa"/>
                  <w:noWrap w:val="0"/>
                  <w:vAlign w:val="center"/>
                </w:tcPr>
                <w:p w14:paraId="3645CCE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eastAsia"/>
                      <w:color w:val="auto"/>
                      <w:lang w:val="en-US" w:eastAsia="zh-CN"/>
                    </w:rPr>
                    <w:t>变动情况</w:t>
                  </w:r>
                </w:p>
              </w:tc>
              <w:tc>
                <w:tcPr>
                  <w:tcW w:w="1767" w:type="dxa"/>
                  <w:noWrap w:val="0"/>
                  <w:vAlign w:val="center"/>
                </w:tcPr>
                <w:p w14:paraId="182766B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eastAsia"/>
                      <w:color w:val="auto"/>
                      <w:lang w:val="en-US" w:eastAsia="zh-CN"/>
                    </w:rPr>
                    <w:t>变动原因及合规性分析</w:t>
                  </w:r>
                </w:p>
              </w:tc>
              <w:tc>
                <w:tcPr>
                  <w:tcW w:w="861" w:type="dxa"/>
                  <w:noWrap w:val="0"/>
                  <w:vAlign w:val="center"/>
                </w:tcPr>
                <w:p w14:paraId="35BAAD7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eastAsia" w:ascii="宋体" w:hAnsi="宋体" w:eastAsia="宋体" w:cs="宋体"/>
                      <w:color w:val="auto"/>
                      <w:spacing w:val="0"/>
                      <w:w w:val="100"/>
                      <w:position w:val="0"/>
                      <w:sz w:val="21"/>
                      <w:szCs w:val="21"/>
                      <w:vertAlign w:val="baseline"/>
                      <w:lang w:val="en-US" w:eastAsia="zh-CN"/>
                    </w:rPr>
                    <w:t>是否为重大变更</w:t>
                  </w:r>
                </w:p>
              </w:tc>
            </w:tr>
            <w:tr w14:paraId="2CFF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588" w:type="dxa"/>
                  <w:vMerge w:val="restart"/>
                  <w:noWrap w:val="0"/>
                  <w:vAlign w:val="center"/>
                </w:tcPr>
                <w:p w14:paraId="70DFEA49">
                  <w:pPr>
                    <w:adjustRightInd w:val="0"/>
                    <w:snapToGrid w:val="0"/>
                    <w:spacing w:line="240" w:lineRule="atLeast"/>
                    <w:jc w:val="center"/>
                    <w:rPr>
                      <w:rFonts w:hint="default"/>
                      <w:color w:val="auto"/>
                    </w:rPr>
                  </w:pPr>
                  <w:r>
                    <w:rPr>
                      <w:rFonts w:hint="default"/>
                      <w:color w:val="auto"/>
                    </w:rPr>
                    <w:t>主体</w:t>
                  </w:r>
                </w:p>
                <w:p w14:paraId="48111346">
                  <w:pPr>
                    <w:adjustRightInd w:val="0"/>
                    <w:snapToGrid w:val="0"/>
                    <w:spacing w:line="240" w:lineRule="atLeast"/>
                    <w:jc w:val="center"/>
                    <w:rPr>
                      <w:rFonts w:hint="default"/>
                      <w:color w:val="auto"/>
                      <w:lang w:val="en-US" w:eastAsia="zh-CN"/>
                    </w:rPr>
                  </w:pPr>
                  <w:r>
                    <w:rPr>
                      <w:rFonts w:hint="default"/>
                      <w:color w:val="auto"/>
                    </w:rPr>
                    <w:t>工程</w:t>
                  </w:r>
                </w:p>
              </w:tc>
              <w:tc>
                <w:tcPr>
                  <w:tcW w:w="928" w:type="dxa"/>
                  <w:noWrap w:val="0"/>
                  <w:vAlign w:val="center"/>
                </w:tcPr>
                <w:p w14:paraId="641D3E2A">
                  <w:pPr>
                    <w:pStyle w:val="92"/>
                    <w:spacing w:line="276" w:lineRule="auto"/>
                    <w:rPr>
                      <w:rFonts w:hint="eastAsia"/>
                      <w:color w:val="auto"/>
                      <w:lang w:val="en-US" w:eastAsia="zh-CN"/>
                    </w:rPr>
                  </w:pPr>
                  <w:r>
                    <w:rPr>
                      <w:rFonts w:hint="eastAsia" w:hAnsi="宋体"/>
                    </w:rPr>
                    <w:t>餐厨垃圾</w:t>
                  </w:r>
                  <w:r>
                    <w:rPr>
                      <w:rFonts w:hAnsi="宋体"/>
                    </w:rPr>
                    <w:t>处理间</w:t>
                  </w:r>
                </w:p>
              </w:tc>
              <w:tc>
                <w:tcPr>
                  <w:tcW w:w="2692" w:type="dxa"/>
                  <w:noWrap w:val="0"/>
                  <w:vAlign w:val="center"/>
                </w:tcPr>
                <w:p w14:paraId="1C8A72E1">
                  <w:pPr>
                    <w:pStyle w:val="92"/>
                    <w:spacing w:line="276" w:lineRule="auto"/>
                    <w:jc w:val="both"/>
                    <w:rPr>
                      <w:rFonts w:hAnsi="宋体"/>
                    </w:rPr>
                  </w:pPr>
                  <w:r>
                    <w:rPr>
                      <w:rFonts w:hint="eastAsia" w:hAnsi="宋体"/>
                    </w:rPr>
                    <w:t>拟建餐厨垃圾处理间位于厂区西侧，</w:t>
                  </w:r>
                  <w:r>
                    <w:rPr>
                      <w:rFonts w:hint="eastAsia" w:cs="Times New Roman"/>
                    </w:rPr>
                    <w:t>南北向</w:t>
                  </w:r>
                  <w:r>
                    <w:rPr>
                      <w:rFonts w:cs="Times New Roman"/>
                    </w:rPr>
                    <w:t>一字型布置</w:t>
                  </w:r>
                  <w:r>
                    <w:rPr>
                      <w:rFonts w:hint="eastAsia" w:hAnsi="宋体"/>
                    </w:rPr>
                    <w:t>，设计占地面积为382.31m</w:t>
                  </w:r>
                  <w:r>
                    <w:rPr>
                      <w:rFonts w:hint="eastAsia" w:hAnsi="宋体"/>
                      <w:vertAlign w:val="superscript"/>
                    </w:rPr>
                    <w:t>2</w:t>
                  </w:r>
                  <w:r>
                    <w:rPr>
                      <w:rFonts w:hint="eastAsia" w:hAnsi="宋体"/>
                    </w:rPr>
                    <w:t>，建筑面积764.62m</w:t>
                  </w:r>
                  <w:r>
                    <w:rPr>
                      <w:rFonts w:hint="eastAsia" w:hAnsi="宋体"/>
                      <w:vertAlign w:val="superscript"/>
                    </w:rPr>
                    <w:t>2</w:t>
                  </w:r>
                  <w:r>
                    <w:rPr>
                      <w:rFonts w:hint="eastAsia" w:hAnsi="宋体"/>
                    </w:rPr>
                    <w:t>，以钢框架结构为主体结构，建筑高度10.65m，建筑层数1层。</w:t>
                  </w:r>
                </w:p>
                <w:p w14:paraId="73FB13AC">
                  <w:pPr>
                    <w:pStyle w:val="92"/>
                    <w:spacing w:line="276" w:lineRule="auto"/>
                    <w:jc w:val="both"/>
                    <w:rPr>
                      <w:rFonts w:hint="default"/>
                      <w:color w:val="auto"/>
                      <w:lang w:val="en-US" w:eastAsia="zh-CN"/>
                    </w:rPr>
                  </w:pPr>
                  <w:r>
                    <w:rPr>
                      <w:rFonts w:hint="eastAsia" w:hAnsi="宋体"/>
                    </w:rPr>
                    <w:t>其中设置1条餐厨垃圾生产线，包括餐厨垃圾（含厨余垃圾）预处理、车间除臭收集系统及处理工艺、油脂处理系统、无机杂质及有机固形处置工艺。</w:t>
                  </w:r>
                </w:p>
              </w:tc>
              <w:tc>
                <w:tcPr>
                  <w:tcW w:w="2640" w:type="dxa"/>
                  <w:noWrap w:val="0"/>
                  <w:vAlign w:val="center"/>
                </w:tcPr>
                <w:p w14:paraId="2826103F">
                  <w:pPr>
                    <w:pStyle w:val="92"/>
                    <w:spacing w:line="276" w:lineRule="auto"/>
                    <w:jc w:val="both"/>
                    <w:rPr>
                      <w:rFonts w:hint="default" w:eastAsia="宋体"/>
                      <w:color w:val="auto"/>
                      <w:lang w:val="en-US" w:eastAsia="zh-CN"/>
                    </w:rPr>
                  </w:pPr>
                  <w:r>
                    <w:rPr>
                      <w:rFonts w:hint="eastAsia" w:hAnsi="宋体"/>
                    </w:rPr>
                    <w:t>餐厨垃圾处理间位于厂区西侧，</w:t>
                  </w:r>
                  <w:r>
                    <w:rPr>
                      <w:rFonts w:hint="eastAsia" w:cs="Times New Roman"/>
                    </w:rPr>
                    <w:t>南北向</w:t>
                  </w:r>
                  <w:r>
                    <w:rPr>
                      <w:rFonts w:cs="Times New Roman"/>
                    </w:rPr>
                    <w:t>一字型布置</w:t>
                  </w:r>
                  <w:r>
                    <w:rPr>
                      <w:rFonts w:hint="eastAsia" w:hAnsi="宋体"/>
                    </w:rPr>
                    <w:t>，设计占地面积为382.31m</w:t>
                  </w:r>
                  <w:r>
                    <w:rPr>
                      <w:rFonts w:hint="eastAsia" w:hAnsi="宋体"/>
                      <w:vertAlign w:val="superscript"/>
                    </w:rPr>
                    <w:t>2</w:t>
                  </w:r>
                  <w:r>
                    <w:rPr>
                      <w:rFonts w:hint="eastAsia" w:hAnsi="宋体"/>
                    </w:rPr>
                    <w:t>，建筑面积764.62m</w:t>
                  </w:r>
                  <w:r>
                    <w:rPr>
                      <w:rFonts w:hint="eastAsia" w:hAnsi="宋体"/>
                      <w:vertAlign w:val="superscript"/>
                    </w:rPr>
                    <w:t>2</w:t>
                  </w:r>
                  <w:r>
                    <w:rPr>
                      <w:rFonts w:hint="eastAsia" w:hAnsi="宋体"/>
                    </w:rPr>
                    <w:t>，以钢框架结构为主体结构，建筑高度10.65m，建筑层数1层。其中设置1条餐厨垃圾生产线，包括餐厨垃圾（含厨余垃圾）预处理、车间除臭收集系统及处理工艺、油脂处理系统、无机杂质及有机固形处置工艺。</w:t>
                  </w:r>
                </w:p>
              </w:tc>
              <w:tc>
                <w:tcPr>
                  <w:tcW w:w="845" w:type="dxa"/>
                  <w:noWrap w:val="0"/>
                  <w:vAlign w:val="center"/>
                </w:tcPr>
                <w:p w14:paraId="7EF79C0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eastAsia"/>
                      <w:color w:val="auto"/>
                      <w:lang w:eastAsia="zh-CN"/>
                    </w:rPr>
                    <w:t>与环评一致</w:t>
                  </w:r>
                </w:p>
              </w:tc>
              <w:tc>
                <w:tcPr>
                  <w:tcW w:w="1767" w:type="dxa"/>
                  <w:noWrap w:val="0"/>
                  <w:vAlign w:val="center"/>
                </w:tcPr>
                <w:p w14:paraId="3379AC8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lang w:val="en-US" w:eastAsia="zh-CN"/>
                    </w:rPr>
                  </w:pPr>
                  <w:r>
                    <w:rPr>
                      <w:rFonts w:hint="eastAsia"/>
                      <w:color w:val="auto"/>
                      <w:lang w:val="en-US" w:eastAsia="zh-CN"/>
                    </w:rPr>
                    <w:t>/</w:t>
                  </w:r>
                </w:p>
              </w:tc>
              <w:tc>
                <w:tcPr>
                  <w:tcW w:w="861" w:type="dxa"/>
                  <w:noWrap w:val="0"/>
                  <w:vAlign w:val="center"/>
                </w:tcPr>
                <w:p w14:paraId="5CB719E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lang w:val="en-US" w:eastAsia="zh-CN"/>
                    </w:rPr>
                  </w:pPr>
                  <w:r>
                    <w:rPr>
                      <w:rFonts w:hint="eastAsia"/>
                      <w:color w:val="auto"/>
                      <w:lang w:val="en-US" w:eastAsia="zh-CN"/>
                    </w:rPr>
                    <w:t>/</w:t>
                  </w:r>
                </w:p>
              </w:tc>
            </w:tr>
            <w:tr w14:paraId="7619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88" w:type="dxa"/>
                  <w:vMerge w:val="continue"/>
                  <w:noWrap w:val="0"/>
                  <w:vAlign w:val="center"/>
                </w:tcPr>
                <w:p w14:paraId="149F4C4D">
                  <w:pPr>
                    <w:adjustRightInd w:val="0"/>
                    <w:snapToGrid w:val="0"/>
                    <w:spacing w:line="240" w:lineRule="atLeast"/>
                    <w:jc w:val="center"/>
                    <w:rPr>
                      <w:rFonts w:hint="default"/>
                      <w:color w:val="auto"/>
                    </w:rPr>
                  </w:pPr>
                </w:p>
              </w:tc>
              <w:tc>
                <w:tcPr>
                  <w:tcW w:w="928" w:type="dxa"/>
                  <w:noWrap w:val="0"/>
                  <w:vAlign w:val="center"/>
                </w:tcPr>
                <w:p w14:paraId="4FB88CEA">
                  <w:pPr>
                    <w:pStyle w:val="92"/>
                    <w:spacing w:line="276" w:lineRule="auto"/>
                    <w:rPr>
                      <w:rFonts w:hint="eastAsia"/>
                      <w:color w:val="auto"/>
                      <w:lang w:val="en-US" w:eastAsia="zh-CN"/>
                    </w:rPr>
                  </w:pPr>
                  <w:r>
                    <w:rPr>
                      <w:rFonts w:hAnsi="宋体"/>
                    </w:rPr>
                    <w:t>臭气处理系统</w:t>
                  </w:r>
                </w:p>
              </w:tc>
              <w:tc>
                <w:tcPr>
                  <w:tcW w:w="2692" w:type="dxa"/>
                  <w:noWrap w:val="0"/>
                  <w:vAlign w:val="center"/>
                </w:tcPr>
                <w:p w14:paraId="0DD86B8B">
                  <w:pPr>
                    <w:pStyle w:val="92"/>
                    <w:spacing w:line="276" w:lineRule="auto"/>
                    <w:jc w:val="both"/>
                    <w:rPr>
                      <w:rFonts w:hint="eastAsia"/>
                      <w:color w:val="auto"/>
                      <w:lang w:val="en-US" w:eastAsia="zh-CN"/>
                    </w:rPr>
                  </w:pPr>
                  <w:r>
                    <w:rPr>
                      <w:rFonts w:hAnsi="宋体"/>
                    </w:rPr>
                    <w:t>臭气处理系统</w:t>
                  </w:r>
                  <w:r>
                    <w:rPr>
                      <w:rFonts w:hint="eastAsia" w:hAnsi="宋体"/>
                    </w:rPr>
                    <w:t>位于餐厨垃圾</w:t>
                  </w:r>
                  <w:r>
                    <w:rPr>
                      <w:rFonts w:hAnsi="宋体"/>
                    </w:rPr>
                    <w:t>处理间</w:t>
                  </w:r>
                  <w:r>
                    <w:rPr>
                      <w:rFonts w:hint="eastAsia" w:hAnsi="宋体"/>
                    </w:rPr>
                    <w:t>的西南角，</w:t>
                  </w:r>
                  <w:r>
                    <w:rPr>
                      <w:rFonts w:hAnsi="宋体"/>
                    </w:rPr>
                    <w:t>占地</w:t>
                  </w:r>
                  <w:r>
                    <w:rPr>
                      <w:rFonts w:hint="eastAsia"/>
                    </w:rPr>
                    <w:t>14</w:t>
                  </w:r>
                  <w:r>
                    <w:t xml:space="preserve"> </w:t>
                  </w:r>
                  <w:r>
                    <w:rPr>
                      <w:rFonts w:hAnsi="宋体"/>
                    </w:rPr>
                    <w:t>m</w:t>
                  </w:r>
                  <w:r>
                    <w:rPr>
                      <w:rFonts w:hAnsi="宋体"/>
                      <w:vertAlign w:val="superscript"/>
                    </w:rPr>
                    <w:t>2</w:t>
                  </w:r>
                  <w:r>
                    <w:rPr>
                      <w:rFonts w:hAnsi="宋体"/>
                    </w:rPr>
                    <w:t>，</w:t>
                  </w:r>
                  <w:r>
                    <w:rPr>
                      <w:rFonts w:hint="eastAsia" w:hAnsi="宋体"/>
                    </w:rPr>
                    <w:t>设置</w:t>
                  </w:r>
                  <w:r>
                    <w:t>1</w:t>
                  </w:r>
                  <w:r>
                    <w:rPr>
                      <w:rFonts w:hAnsi="宋体"/>
                    </w:rPr>
                    <w:t>套臭气处理装置（生物喷雾</w:t>
                  </w:r>
                  <w:r>
                    <w:t>+</w:t>
                  </w:r>
                  <w:r>
                    <w:rPr>
                      <w:rFonts w:hAnsi="宋体"/>
                    </w:rPr>
                    <w:t>负压抽气碱洗喷淋</w:t>
                  </w:r>
                  <w:r>
                    <w:t>+</w:t>
                  </w:r>
                  <w:r>
                    <w:rPr>
                      <w:rFonts w:hAnsi="宋体"/>
                    </w:rPr>
                    <w:t>生物吸附处理装置）</w:t>
                  </w:r>
                  <w:r>
                    <w:rPr>
                      <w:rFonts w:hint="eastAsia" w:hAnsi="宋体"/>
                    </w:rPr>
                    <w:t>。</w:t>
                  </w:r>
                </w:p>
              </w:tc>
              <w:tc>
                <w:tcPr>
                  <w:tcW w:w="2640" w:type="dxa"/>
                  <w:noWrap w:val="0"/>
                  <w:vAlign w:val="center"/>
                </w:tcPr>
                <w:p w14:paraId="7AA9BD50">
                  <w:pPr>
                    <w:pStyle w:val="92"/>
                    <w:spacing w:line="276" w:lineRule="auto"/>
                    <w:jc w:val="both"/>
                    <w:rPr>
                      <w:rFonts w:hint="default" w:eastAsia="宋体"/>
                      <w:color w:val="auto"/>
                      <w:lang w:val="en-US" w:eastAsia="zh-CN"/>
                    </w:rPr>
                  </w:pPr>
                  <w:r>
                    <w:rPr>
                      <w:rFonts w:hAnsi="宋体"/>
                    </w:rPr>
                    <w:t>臭气处理系统</w:t>
                  </w:r>
                  <w:r>
                    <w:rPr>
                      <w:rFonts w:hint="eastAsia" w:hAnsi="宋体"/>
                    </w:rPr>
                    <w:t>位于餐厨垃圾</w:t>
                  </w:r>
                  <w:r>
                    <w:rPr>
                      <w:rFonts w:hAnsi="宋体"/>
                    </w:rPr>
                    <w:t>处理间</w:t>
                  </w:r>
                  <w:r>
                    <w:rPr>
                      <w:rFonts w:hint="eastAsia" w:hAnsi="宋体"/>
                    </w:rPr>
                    <w:t>的西南角，</w:t>
                  </w:r>
                  <w:r>
                    <w:rPr>
                      <w:rFonts w:hAnsi="宋体"/>
                    </w:rPr>
                    <w:t>占地</w:t>
                  </w:r>
                  <w:r>
                    <w:rPr>
                      <w:rFonts w:hint="eastAsia"/>
                    </w:rPr>
                    <w:t>14</w:t>
                  </w:r>
                  <w:r>
                    <w:t xml:space="preserve"> </w:t>
                  </w:r>
                  <w:r>
                    <w:rPr>
                      <w:rFonts w:hAnsi="宋体"/>
                    </w:rPr>
                    <w:t>m</w:t>
                  </w:r>
                  <w:r>
                    <w:rPr>
                      <w:rFonts w:hAnsi="宋体"/>
                      <w:vertAlign w:val="superscript"/>
                    </w:rPr>
                    <w:t>2</w:t>
                  </w:r>
                  <w:r>
                    <w:rPr>
                      <w:rFonts w:hAnsi="宋体"/>
                    </w:rPr>
                    <w:t>，</w:t>
                  </w:r>
                  <w:r>
                    <w:rPr>
                      <w:rFonts w:hint="eastAsia" w:hAnsi="宋体"/>
                    </w:rPr>
                    <w:t>设置</w:t>
                  </w:r>
                  <w:r>
                    <w:t>1</w:t>
                  </w:r>
                  <w:r>
                    <w:rPr>
                      <w:rFonts w:hAnsi="宋体"/>
                    </w:rPr>
                    <w:t>套臭气处理装置（生物喷雾</w:t>
                  </w:r>
                  <w:r>
                    <w:t>+</w:t>
                  </w:r>
                  <w:r>
                    <w:rPr>
                      <w:rFonts w:hAnsi="宋体"/>
                    </w:rPr>
                    <w:t>负压抽气碱洗喷淋</w:t>
                  </w:r>
                  <w:r>
                    <w:t>+</w:t>
                  </w:r>
                  <w:r>
                    <w:rPr>
                      <w:rFonts w:hAnsi="宋体"/>
                    </w:rPr>
                    <w:t>生物吸附处理装置）</w:t>
                  </w:r>
                  <w:r>
                    <w:rPr>
                      <w:rFonts w:hint="eastAsia" w:hAnsi="宋体"/>
                    </w:rPr>
                    <w:t>。</w:t>
                  </w:r>
                </w:p>
              </w:tc>
              <w:tc>
                <w:tcPr>
                  <w:tcW w:w="845" w:type="dxa"/>
                  <w:noWrap w:val="0"/>
                  <w:vAlign w:val="center"/>
                </w:tcPr>
                <w:p w14:paraId="093EE81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lang w:val="en-US" w:eastAsia="zh-CN"/>
                    </w:rPr>
                  </w:pPr>
                  <w:r>
                    <w:rPr>
                      <w:rFonts w:hint="eastAsia"/>
                      <w:color w:val="auto"/>
                      <w:lang w:eastAsia="zh-CN"/>
                    </w:rPr>
                    <w:t>与环评一致</w:t>
                  </w:r>
                </w:p>
              </w:tc>
              <w:tc>
                <w:tcPr>
                  <w:tcW w:w="1767" w:type="dxa"/>
                  <w:noWrap w:val="0"/>
                  <w:vAlign w:val="center"/>
                </w:tcPr>
                <w:p w14:paraId="7C5EA1B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65FAE7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4A05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588" w:type="dxa"/>
                  <w:vMerge w:val="continue"/>
                  <w:noWrap w:val="0"/>
                  <w:vAlign w:val="center"/>
                </w:tcPr>
                <w:p w14:paraId="54BAF440">
                  <w:pPr>
                    <w:adjustRightInd w:val="0"/>
                    <w:snapToGrid w:val="0"/>
                    <w:spacing w:line="240" w:lineRule="atLeast"/>
                    <w:jc w:val="both"/>
                    <w:rPr>
                      <w:color w:val="auto"/>
                    </w:rPr>
                  </w:pPr>
                </w:p>
              </w:tc>
              <w:tc>
                <w:tcPr>
                  <w:tcW w:w="928" w:type="dxa"/>
                  <w:noWrap w:val="0"/>
                  <w:vAlign w:val="center"/>
                </w:tcPr>
                <w:p w14:paraId="3D07DFC1">
                  <w:pPr>
                    <w:pStyle w:val="92"/>
                    <w:spacing w:line="276" w:lineRule="auto"/>
                    <w:rPr>
                      <w:rFonts w:hint="eastAsia"/>
                      <w:color w:val="auto"/>
                      <w:lang w:val="en-US" w:eastAsia="zh-CN"/>
                    </w:rPr>
                  </w:pPr>
                  <w:r>
                    <w:rPr>
                      <w:rFonts w:hint="eastAsia" w:hAnsi="宋体"/>
                    </w:rPr>
                    <w:t>厌氧发酵与沼气净化区</w:t>
                  </w:r>
                </w:p>
              </w:tc>
              <w:tc>
                <w:tcPr>
                  <w:tcW w:w="2692" w:type="dxa"/>
                  <w:noWrap w:val="0"/>
                  <w:vAlign w:val="center"/>
                </w:tcPr>
                <w:p w14:paraId="6B06BAE9">
                  <w:pPr>
                    <w:pStyle w:val="92"/>
                    <w:spacing w:line="276" w:lineRule="auto"/>
                    <w:jc w:val="both"/>
                    <w:rPr>
                      <w:rFonts w:hint="eastAsia" w:ascii="宋体" w:hAnsi="宋体" w:eastAsia="宋体" w:cs="宋体"/>
                      <w:color w:val="auto"/>
                      <w:sz w:val="21"/>
                      <w:szCs w:val="21"/>
                    </w:rPr>
                  </w:pPr>
                  <w:r>
                    <w:rPr>
                      <w:rFonts w:hint="eastAsia" w:hAnsi="宋体"/>
                    </w:rPr>
                    <w:t>位于餐厨垃圾</w:t>
                  </w:r>
                  <w:r>
                    <w:rPr>
                      <w:rFonts w:hAnsi="宋体"/>
                    </w:rPr>
                    <w:t>处理间的</w:t>
                  </w:r>
                  <w:r>
                    <w:rPr>
                      <w:rFonts w:hint="eastAsia" w:hAnsi="宋体"/>
                    </w:rPr>
                    <w:t>南侧，占地面积约 20m</w:t>
                  </w:r>
                  <w:r>
                    <w:rPr>
                      <w:rFonts w:hint="eastAsia" w:hAnsi="宋体"/>
                      <w:vertAlign w:val="superscript"/>
                    </w:rPr>
                    <w:t>2</w:t>
                  </w:r>
                  <w:r>
                    <w:rPr>
                      <w:rFonts w:hint="eastAsia" w:hAnsi="宋体"/>
                    </w:rPr>
                    <w:t>，主要设置1座调节罐（18</w:t>
                  </w:r>
                  <w:r>
                    <w:rPr>
                      <w:rFonts w:hAnsi="宋体"/>
                    </w:rPr>
                    <w:t>m</w:t>
                  </w:r>
                  <w:r>
                    <w:rPr>
                      <w:rFonts w:hAnsi="宋体"/>
                      <w:vertAlign w:val="superscript"/>
                    </w:rPr>
                    <w:t>3</w:t>
                  </w:r>
                  <w:r>
                    <w:rPr>
                      <w:rFonts w:hAnsi="宋体"/>
                    </w:rPr>
                    <w:t>/</w:t>
                  </w:r>
                  <w:r>
                    <w:rPr>
                      <w:rFonts w:hint="eastAsia" w:hAnsi="宋体"/>
                    </w:rPr>
                    <w:t>座）、</w:t>
                  </w:r>
                  <w:r>
                    <w:rPr>
                      <w:rFonts w:hAnsi="宋体"/>
                    </w:rPr>
                    <w:t>1</w:t>
                  </w:r>
                  <w:r>
                    <w:rPr>
                      <w:rFonts w:hint="eastAsia" w:hAnsi="宋体"/>
                    </w:rPr>
                    <w:t>座厌氧罐（6</w:t>
                  </w:r>
                  <w:r>
                    <w:rPr>
                      <w:rFonts w:hAnsi="宋体"/>
                    </w:rPr>
                    <w:t>0m</w:t>
                  </w:r>
                  <w:r>
                    <w:rPr>
                      <w:rFonts w:hAnsi="宋体"/>
                      <w:vertAlign w:val="superscript"/>
                    </w:rPr>
                    <w:t>3</w:t>
                  </w:r>
                  <w:r>
                    <w:rPr>
                      <w:rFonts w:hint="eastAsia" w:hAnsi="宋体"/>
                    </w:rPr>
                    <w:t>）、1套浓水冷却系统、1个沼气储柜（30</w:t>
                  </w:r>
                  <w:r>
                    <w:rPr>
                      <w:rFonts w:hAnsi="宋体"/>
                    </w:rPr>
                    <w:t>m</w:t>
                  </w:r>
                  <w:r>
                    <w:rPr>
                      <w:rFonts w:hAnsi="宋体"/>
                      <w:vertAlign w:val="superscript"/>
                    </w:rPr>
                    <w:t>3</w:t>
                  </w:r>
                  <w:r>
                    <w:rPr>
                      <w:rFonts w:hint="eastAsia" w:hAnsi="宋体"/>
                    </w:rPr>
                    <w:t>）、1套沼气净化塔。</w:t>
                  </w:r>
                </w:p>
              </w:tc>
              <w:tc>
                <w:tcPr>
                  <w:tcW w:w="2640" w:type="dxa"/>
                  <w:noWrap w:val="0"/>
                  <w:vAlign w:val="center"/>
                </w:tcPr>
                <w:p w14:paraId="2EE7F0EC">
                  <w:pPr>
                    <w:pStyle w:val="92"/>
                    <w:spacing w:line="276" w:lineRule="auto"/>
                    <w:jc w:val="both"/>
                    <w:rPr>
                      <w:rFonts w:hint="default"/>
                      <w:color w:val="auto"/>
                      <w:lang w:val="en-US" w:eastAsia="zh-CN"/>
                    </w:rPr>
                  </w:pPr>
                  <w:r>
                    <w:rPr>
                      <w:rFonts w:hint="eastAsia" w:hAnsi="宋体"/>
                    </w:rPr>
                    <w:t>位于餐厨垃圾</w:t>
                  </w:r>
                  <w:r>
                    <w:rPr>
                      <w:rFonts w:hAnsi="宋体"/>
                    </w:rPr>
                    <w:t>处理间的</w:t>
                  </w:r>
                  <w:r>
                    <w:rPr>
                      <w:rFonts w:hint="eastAsia" w:hAnsi="宋体"/>
                    </w:rPr>
                    <w:t>南侧，占地面积约 20m</w:t>
                  </w:r>
                  <w:r>
                    <w:rPr>
                      <w:rFonts w:hint="eastAsia" w:hAnsi="宋体"/>
                      <w:vertAlign w:val="superscript"/>
                    </w:rPr>
                    <w:t>2</w:t>
                  </w:r>
                  <w:r>
                    <w:rPr>
                      <w:rFonts w:hint="eastAsia" w:hAnsi="宋体"/>
                    </w:rPr>
                    <w:t>，主要设置1座调节罐（18</w:t>
                  </w:r>
                  <w:r>
                    <w:rPr>
                      <w:rFonts w:hAnsi="宋体"/>
                    </w:rPr>
                    <w:t>m</w:t>
                  </w:r>
                  <w:r>
                    <w:rPr>
                      <w:rFonts w:hAnsi="宋体"/>
                      <w:vertAlign w:val="superscript"/>
                    </w:rPr>
                    <w:t>3</w:t>
                  </w:r>
                  <w:r>
                    <w:rPr>
                      <w:rFonts w:hAnsi="宋体"/>
                    </w:rPr>
                    <w:t>/</w:t>
                  </w:r>
                  <w:r>
                    <w:rPr>
                      <w:rFonts w:hint="eastAsia" w:hAnsi="宋体"/>
                    </w:rPr>
                    <w:t>座）、</w:t>
                  </w:r>
                  <w:r>
                    <w:rPr>
                      <w:rFonts w:hAnsi="宋体"/>
                    </w:rPr>
                    <w:t>1</w:t>
                  </w:r>
                  <w:r>
                    <w:rPr>
                      <w:rFonts w:hint="eastAsia" w:hAnsi="宋体"/>
                    </w:rPr>
                    <w:t>座厌氧罐（6</w:t>
                  </w:r>
                  <w:r>
                    <w:rPr>
                      <w:rFonts w:hAnsi="宋体"/>
                    </w:rPr>
                    <w:t>0m</w:t>
                  </w:r>
                  <w:r>
                    <w:rPr>
                      <w:rFonts w:hAnsi="宋体"/>
                      <w:vertAlign w:val="superscript"/>
                    </w:rPr>
                    <w:t>3</w:t>
                  </w:r>
                  <w:r>
                    <w:rPr>
                      <w:rFonts w:hint="eastAsia" w:hAnsi="宋体"/>
                    </w:rPr>
                    <w:t>）、1套浓水冷却系统、1个沼气储柜（30</w:t>
                  </w:r>
                  <w:r>
                    <w:rPr>
                      <w:rFonts w:hAnsi="宋体"/>
                    </w:rPr>
                    <w:t>m</w:t>
                  </w:r>
                  <w:r>
                    <w:rPr>
                      <w:rFonts w:hAnsi="宋体"/>
                      <w:vertAlign w:val="superscript"/>
                    </w:rPr>
                    <w:t>3</w:t>
                  </w:r>
                  <w:r>
                    <w:rPr>
                      <w:rFonts w:hint="eastAsia" w:hAnsi="宋体"/>
                    </w:rPr>
                    <w:t>）、1套沼气净化塔。</w:t>
                  </w:r>
                </w:p>
              </w:tc>
              <w:tc>
                <w:tcPr>
                  <w:tcW w:w="845" w:type="dxa"/>
                  <w:noWrap w:val="0"/>
                  <w:vAlign w:val="center"/>
                </w:tcPr>
                <w:p w14:paraId="184E7F5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eastAsia="zh-CN"/>
                    </w:rPr>
                    <w:t>与环评一致</w:t>
                  </w:r>
                </w:p>
              </w:tc>
              <w:tc>
                <w:tcPr>
                  <w:tcW w:w="1767" w:type="dxa"/>
                  <w:noWrap w:val="0"/>
                  <w:vAlign w:val="center"/>
                </w:tcPr>
                <w:p w14:paraId="3FD998F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21907B0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0D2F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588" w:type="dxa"/>
                  <w:vMerge w:val="continue"/>
                  <w:noWrap w:val="0"/>
                  <w:vAlign w:val="center"/>
                </w:tcPr>
                <w:p w14:paraId="3C3F4080">
                  <w:pPr>
                    <w:adjustRightInd w:val="0"/>
                    <w:snapToGrid w:val="0"/>
                    <w:spacing w:line="240" w:lineRule="atLeast"/>
                    <w:jc w:val="both"/>
                    <w:rPr>
                      <w:color w:val="auto"/>
                    </w:rPr>
                  </w:pPr>
                </w:p>
              </w:tc>
              <w:tc>
                <w:tcPr>
                  <w:tcW w:w="928" w:type="dxa"/>
                  <w:noWrap w:val="0"/>
                  <w:vAlign w:val="center"/>
                </w:tcPr>
                <w:p w14:paraId="426D47CC">
                  <w:pPr>
                    <w:pStyle w:val="92"/>
                    <w:spacing w:line="276" w:lineRule="auto"/>
                    <w:rPr>
                      <w:rFonts w:hint="eastAsia"/>
                      <w:color w:val="auto"/>
                      <w:lang w:val="en-US" w:eastAsia="zh-CN"/>
                    </w:rPr>
                  </w:pPr>
                  <w:r>
                    <w:rPr>
                      <w:rFonts w:hint="eastAsia" w:hAnsi="宋体"/>
                    </w:rPr>
                    <w:t>污水处理系统</w:t>
                  </w:r>
                </w:p>
              </w:tc>
              <w:tc>
                <w:tcPr>
                  <w:tcW w:w="2692" w:type="dxa"/>
                  <w:noWrap w:val="0"/>
                  <w:vAlign w:val="center"/>
                </w:tcPr>
                <w:p w14:paraId="2B9D988F">
                  <w:pPr>
                    <w:pStyle w:val="92"/>
                    <w:spacing w:line="276" w:lineRule="auto"/>
                    <w:jc w:val="both"/>
                    <w:rPr>
                      <w:rFonts w:hint="eastAsia" w:ascii="宋体" w:hAnsi="宋体" w:eastAsia="宋体" w:cs="宋体"/>
                      <w:color w:val="auto"/>
                      <w:spacing w:val="-1"/>
                      <w:sz w:val="21"/>
                      <w:szCs w:val="21"/>
                      <w:lang w:val="en-US" w:eastAsia="zh-CN"/>
                    </w:rPr>
                  </w:pPr>
                  <w:r>
                    <w:rPr>
                      <w:rFonts w:hint="eastAsia" w:hAnsi="宋体"/>
                    </w:rPr>
                    <w:t>位于门卫室南侧位置，占地面积约15m</w:t>
                  </w:r>
                  <w:r>
                    <w:rPr>
                      <w:rFonts w:hint="eastAsia" w:hAnsi="宋体"/>
                      <w:vertAlign w:val="superscript"/>
                    </w:rPr>
                    <w:t>2</w:t>
                  </w:r>
                  <w:r>
                    <w:rPr>
                      <w:rFonts w:hint="eastAsia" w:hAnsi="宋体"/>
                    </w:rPr>
                    <w:t>，设计为地上一体化装置，采用“</w:t>
                  </w:r>
                  <w:r>
                    <w:rPr>
                      <w:rFonts w:hint="eastAsia" w:ascii="宋体" w:hAnsi="宋体"/>
                      <w:kern w:val="0"/>
                    </w:rPr>
                    <w:t>调节池+</w:t>
                  </w:r>
                  <w:r>
                    <w:rPr>
                      <w:rFonts w:ascii="宋体" w:hAnsi="宋体"/>
                      <w:kern w:val="0"/>
                    </w:rPr>
                    <w:t>CSTR</w:t>
                  </w:r>
                  <w:r>
                    <w:rPr>
                      <w:rFonts w:hint="eastAsia" w:ascii="宋体" w:hAnsi="宋体"/>
                      <w:kern w:val="0"/>
                    </w:rPr>
                    <w:t>厌氧反应器+混凝澄清池</w:t>
                  </w:r>
                  <w:r>
                    <w:rPr>
                      <w:rFonts w:hint="eastAsia" w:hAnsi="宋体"/>
                    </w:rPr>
                    <w:t>”工艺。</w:t>
                  </w:r>
                </w:p>
              </w:tc>
              <w:tc>
                <w:tcPr>
                  <w:tcW w:w="2640" w:type="dxa"/>
                  <w:noWrap w:val="0"/>
                  <w:vAlign w:val="center"/>
                </w:tcPr>
                <w:p w14:paraId="29D3B57E">
                  <w:pPr>
                    <w:pStyle w:val="92"/>
                    <w:spacing w:line="276" w:lineRule="auto"/>
                    <w:jc w:val="both"/>
                    <w:rPr>
                      <w:rFonts w:hint="eastAsia"/>
                      <w:color w:val="auto"/>
                      <w:lang w:val="en-US" w:eastAsia="zh-CN"/>
                    </w:rPr>
                  </w:pPr>
                  <w:r>
                    <w:rPr>
                      <w:rFonts w:hint="eastAsia" w:hAnsi="宋体"/>
                    </w:rPr>
                    <w:t>位于门卫室南侧位置，占地面积约15m</w:t>
                  </w:r>
                  <w:r>
                    <w:rPr>
                      <w:rFonts w:hint="eastAsia" w:hAnsi="宋体"/>
                      <w:vertAlign w:val="superscript"/>
                    </w:rPr>
                    <w:t>2</w:t>
                  </w:r>
                  <w:r>
                    <w:rPr>
                      <w:rFonts w:hint="eastAsia" w:hAnsi="宋体"/>
                    </w:rPr>
                    <w:t>，设计为地上一体化装置，采用“</w:t>
                  </w:r>
                  <w:r>
                    <w:rPr>
                      <w:rFonts w:hint="eastAsia" w:ascii="宋体" w:hAnsi="宋体"/>
                      <w:kern w:val="0"/>
                    </w:rPr>
                    <w:t>调节池+</w:t>
                  </w:r>
                  <w:r>
                    <w:rPr>
                      <w:rFonts w:ascii="宋体" w:hAnsi="宋体"/>
                      <w:kern w:val="0"/>
                    </w:rPr>
                    <w:t>CSTR</w:t>
                  </w:r>
                  <w:r>
                    <w:rPr>
                      <w:rFonts w:hint="eastAsia" w:ascii="宋体" w:hAnsi="宋体"/>
                      <w:kern w:val="0"/>
                    </w:rPr>
                    <w:t>厌氧反应器+混凝澄清池</w:t>
                  </w:r>
                  <w:r>
                    <w:rPr>
                      <w:rFonts w:hint="eastAsia" w:hAnsi="宋体"/>
                    </w:rPr>
                    <w:t>”工艺。</w:t>
                  </w:r>
                </w:p>
              </w:tc>
              <w:tc>
                <w:tcPr>
                  <w:tcW w:w="845" w:type="dxa"/>
                  <w:noWrap w:val="0"/>
                  <w:vAlign w:val="center"/>
                </w:tcPr>
                <w:p w14:paraId="01A6F2C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lang w:val="en-US" w:eastAsia="zh-CN"/>
                    </w:rPr>
                  </w:pPr>
                  <w:r>
                    <w:rPr>
                      <w:rFonts w:hint="eastAsia"/>
                      <w:color w:val="auto"/>
                      <w:lang w:eastAsia="zh-CN"/>
                    </w:rPr>
                    <w:t>与环评一致</w:t>
                  </w:r>
                </w:p>
              </w:tc>
              <w:tc>
                <w:tcPr>
                  <w:tcW w:w="1767" w:type="dxa"/>
                  <w:noWrap w:val="0"/>
                  <w:vAlign w:val="center"/>
                </w:tcPr>
                <w:p w14:paraId="79628D0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10C40B3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0418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17FDC85F">
                  <w:pPr>
                    <w:adjustRightInd w:val="0"/>
                    <w:jc w:val="center"/>
                    <w:rPr>
                      <w:rFonts w:hint="eastAsia"/>
                      <w:color w:val="auto"/>
                    </w:rPr>
                  </w:pPr>
                  <w:r>
                    <w:rPr>
                      <w:rFonts w:hint="eastAsia"/>
                      <w:color w:val="auto"/>
                    </w:rPr>
                    <w:t>辅助</w:t>
                  </w:r>
                </w:p>
                <w:p w14:paraId="4B27905D">
                  <w:pPr>
                    <w:pStyle w:val="65"/>
                    <w:keepNext w:val="0"/>
                    <w:keepLines w:val="0"/>
                    <w:adjustRightInd w:val="0"/>
                    <w:snapToGrid w:val="0"/>
                    <w:spacing w:line="240" w:lineRule="atLeast"/>
                    <w:jc w:val="center"/>
                    <w:rPr>
                      <w:rFonts w:hint="default"/>
                      <w:color w:val="auto"/>
                      <w:lang w:val="en-US" w:eastAsia="zh-CN"/>
                    </w:rPr>
                  </w:pPr>
                  <w:r>
                    <w:rPr>
                      <w:rFonts w:hint="eastAsia"/>
                      <w:color w:val="auto"/>
                    </w:rPr>
                    <w:t>工程</w:t>
                  </w:r>
                </w:p>
              </w:tc>
              <w:tc>
                <w:tcPr>
                  <w:tcW w:w="928" w:type="dxa"/>
                  <w:noWrap w:val="0"/>
                  <w:vAlign w:val="center"/>
                </w:tcPr>
                <w:p w14:paraId="45DFC46C">
                  <w:pPr>
                    <w:pStyle w:val="92"/>
                    <w:spacing w:line="276" w:lineRule="auto"/>
                    <w:rPr>
                      <w:rFonts w:hint="eastAsia" w:ascii="宋体" w:hAnsi="宋体" w:eastAsia="宋体" w:cs="宋体"/>
                      <w:color w:val="auto"/>
                      <w:spacing w:val="-1"/>
                      <w:sz w:val="21"/>
                      <w:szCs w:val="21"/>
                      <w:lang w:val="en-US" w:eastAsia="zh-CN"/>
                    </w:rPr>
                  </w:pPr>
                  <w:r>
                    <w:rPr>
                      <w:rFonts w:hint="eastAsia"/>
                    </w:rPr>
                    <w:t>附属用房</w:t>
                  </w:r>
                </w:p>
              </w:tc>
              <w:tc>
                <w:tcPr>
                  <w:tcW w:w="2692" w:type="dxa"/>
                  <w:noWrap w:val="0"/>
                  <w:vAlign w:val="center"/>
                </w:tcPr>
                <w:p w14:paraId="679BD05F">
                  <w:pPr>
                    <w:pStyle w:val="92"/>
                    <w:spacing w:line="276" w:lineRule="auto"/>
                    <w:jc w:val="both"/>
                    <w:rPr>
                      <w:rFonts w:hint="default"/>
                      <w:color w:val="auto"/>
                      <w:lang w:val="en-US" w:eastAsia="zh-CN"/>
                    </w:rPr>
                  </w:pPr>
                  <w:r>
                    <w:rPr>
                      <w:rFonts w:cs="Times New Roman"/>
                    </w:rPr>
                    <w:t>拟建附属用房位于厂区东侧，</w:t>
                  </w:r>
                  <w:r>
                    <w:rPr>
                      <w:rFonts w:hint="eastAsia" w:cs="Times New Roman"/>
                    </w:rPr>
                    <w:t>南北向</w:t>
                  </w:r>
                  <w:r>
                    <w:rPr>
                      <w:rFonts w:cs="Times New Roman"/>
                    </w:rPr>
                    <w:t>一字型布置，设计占地面积</w:t>
                  </w:r>
                  <w:r>
                    <w:rPr>
                      <w:rFonts w:hint="eastAsia" w:hAnsi="宋体"/>
                    </w:rPr>
                    <w:t>为100m</w:t>
                  </w:r>
                  <w:r>
                    <w:rPr>
                      <w:rFonts w:hint="eastAsia" w:hAnsi="宋体"/>
                      <w:vertAlign w:val="superscript"/>
                    </w:rPr>
                    <w:t>2</w:t>
                  </w:r>
                  <w:r>
                    <w:rPr>
                      <w:rFonts w:hint="eastAsia" w:hAnsi="宋体"/>
                    </w:rPr>
                    <w:t>，建筑面积100m</w:t>
                  </w:r>
                  <w:r>
                    <w:rPr>
                      <w:rFonts w:hint="eastAsia" w:hAnsi="宋体"/>
                      <w:vertAlign w:val="superscript"/>
                    </w:rPr>
                    <w:t>2</w:t>
                  </w:r>
                  <w:r>
                    <w:rPr>
                      <w:rFonts w:hint="eastAsia" w:hAnsi="宋体"/>
                    </w:rPr>
                    <w:t>，以钢结构为主体结构，建筑高度4.65m，建筑层数1层。</w:t>
                  </w:r>
                  <w:r>
                    <w:rPr>
                      <w:rFonts w:cs="Times New Roman"/>
                    </w:rPr>
                    <w:t>主要</w:t>
                  </w:r>
                  <w:r>
                    <w:rPr>
                      <w:rFonts w:hint="eastAsia" w:cs="Times New Roman"/>
                    </w:rPr>
                    <w:t>布置热水炉房、一般固废暂存间、危废暂存间、</w:t>
                  </w:r>
                  <w:r>
                    <w:rPr>
                      <w:rFonts w:cs="Times New Roman"/>
                    </w:rPr>
                    <w:t>工具间、修理间及杂物间。</w:t>
                  </w:r>
                </w:p>
              </w:tc>
              <w:tc>
                <w:tcPr>
                  <w:tcW w:w="2640" w:type="dxa"/>
                  <w:noWrap w:val="0"/>
                  <w:vAlign w:val="center"/>
                </w:tcPr>
                <w:p w14:paraId="38B00298">
                  <w:pPr>
                    <w:pStyle w:val="92"/>
                    <w:spacing w:line="276" w:lineRule="auto"/>
                    <w:jc w:val="both"/>
                    <w:rPr>
                      <w:rFonts w:hint="default"/>
                      <w:color w:val="auto"/>
                      <w:lang w:val="en-US" w:eastAsia="zh-CN"/>
                    </w:rPr>
                  </w:pPr>
                  <w:r>
                    <w:rPr>
                      <w:rFonts w:cs="Times New Roman"/>
                    </w:rPr>
                    <w:t>附属用房位于厂区</w:t>
                  </w:r>
                  <w:r>
                    <w:rPr>
                      <w:rFonts w:hint="eastAsia" w:cs="Times New Roman"/>
                      <w:lang w:eastAsia="zh-CN"/>
                    </w:rPr>
                    <w:t>南</w:t>
                  </w:r>
                  <w:r>
                    <w:rPr>
                      <w:rFonts w:cs="Times New Roman"/>
                    </w:rPr>
                    <w:t>侧，</w:t>
                  </w:r>
                  <w:r>
                    <w:rPr>
                      <w:rFonts w:hint="eastAsia" w:cs="Times New Roman"/>
                    </w:rPr>
                    <w:t>南北向</w:t>
                  </w:r>
                  <w:r>
                    <w:rPr>
                      <w:rFonts w:cs="Times New Roman"/>
                    </w:rPr>
                    <w:t>一字型布置，设计占地面积</w:t>
                  </w:r>
                  <w:r>
                    <w:rPr>
                      <w:rFonts w:hint="eastAsia" w:hAnsi="宋体"/>
                    </w:rPr>
                    <w:t>为100m</w:t>
                  </w:r>
                  <w:r>
                    <w:rPr>
                      <w:rFonts w:hint="eastAsia" w:hAnsi="宋体"/>
                      <w:vertAlign w:val="superscript"/>
                    </w:rPr>
                    <w:t>2</w:t>
                  </w:r>
                  <w:r>
                    <w:rPr>
                      <w:rFonts w:hint="eastAsia" w:hAnsi="宋体"/>
                    </w:rPr>
                    <w:t>，建筑面积100m</w:t>
                  </w:r>
                  <w:r>
                    <w:rPr>
                      <w:rFonts w:hint="eastAsia" w:hAnsi="宋体"/>
                      <w:vertAlign w:val="superscript"/>
                    </w:rPr>
                    <w:t>2</w:t>
                  </w:r>
                  <w:r>
                    <w:rPr>
                      <w:rFonts w:hint="eastAsia" w:hAnsi="宋体"/>
                    </w:rPr>
                    <w:t>，以钢结构为主体结构，建筑高度4.65m，建筑层数1层。</w:t>
                  </w:r>
                  <w:r>
                    <w:rPr>
                      <w:rFonts w:cs="Times New Roman"/>
                    </w:rPr>
                    <w:t>主要</w:t>
                  </w:r>
                  <w:r>
                    <w:rPr>
                      <w:rFonts w:hint="eastAsia" w:cs="Times New Roman"/>
                    </w:rPr>
                    <w:t>布置热水炉房、一般固废暂存间、</w:t>
                  </w:r>
                  <w:r>
                    <w:rPr>
                      <w:rFonts w:cs="Times New Roman"/>
                    </w:rPr>
                    <w:t>工具间、修理间及杂物间。</w:t>
                  </w:r>
                </w:p>
              </w:tc>
              <w:tc>
                <w:tcPr>
                  <w:tcW w:w="845" w:type="dxa"/>
                  <w:noWrap w:val="0"/>
                  <w:vAlign w:val="center"/>
                </w:tcPr>
                <w:p w14:paraId="7BE7F11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rPr>
                  </w:pPr>
                  <w:r>
                    <w:rPr>
                      <w:rFonts w:hint="eastAsia"/>
                      <w:color w:val="auto"/>
                      <w:lang w:eastAsia="zh-CN"/>
                    </w:rPr>
                    <w:t>附属用房建设位置变化，未建设危废暂存间</w:t>
                  </w:r>
                </w:p>
              </w:tc>
              <w:tc>
                <w:tcPr>
                  <w:tcW w:w="1767" w:type="dxa"/>
                  <w:noWrap w:val="0"/>
                  <w:vAlign w:val="center"/>
                </w:tcPr>
                <w:p w14:paraId="53356FC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color w:val="auto"/>
                      <w:lang w:eastAsia="zh-CN"/>
                    </w:rPr>
                  </w:pPr>
                  <w:r>
                    <w:rPr>
                      <w:rFonts w:cs="Times New Roman"/>
                    </w:rPr>
                    <w:t>附属用房位于厂区</w:t>
                  </w:r>
                  <w:r>
                    <w:rPr>
                      <w:rFonts w:hint="eastAsia" w:cs="Times New Roman"/>
                      <w:lang w:eastAsia="zh-CN"/>
                    </w:rPr>
                    <w:t>南</w:t>
                  </w:r>
                  <w:r>
                    <w:rPr>
                      <w:rFonts w:cs="Times New Roman"/>
                    </w:rPr>
                    <w:t>侧，</w:t>
                  </w:r>
                  <w:r>
                    <w:rPr>
                      <w:rFonts w:hint="eastAsia" w:cs="Times New Roman"/>
                    </w:rPr>
                    <w:t>南北向</w:t>
                  </w:r>
                  <w:r>
                    <w:rPr>
                      <w:rFonts w:cs="Times New Roman"/>
                    </w:rPr>
                    <w:t>一字型布置，</w:t>
                  </w:r>
                  <w:r>
                    <w:rPr>
                      <w:rFonts w:hint="eastAsia" w:cs="Times New Roman"/>
                      <w:lang w:eastAsia="zh-CN"/>
                    </w:rPr>
                    <w:t>合理布局。厂区危废产生量少，与青川县金扳手汽车维修有限公司签有机修协议，未设</w:t>
                  </w:r>
                  <w:r>
                    <w:rPr>
                      <w:rFonts w:hint="eastAsia"/>
                      <w:color w:val="auto"/>
                      <w:lang w:eastAsia="zh-CN"/>
                    </w:rPr>
                    <w:t>危废暂存间</w:t>
                  </w:r>
                </w:p>
              </w:tc>
              <w:tc>
                <w:tcPr>
                  <w:tcW w:w="861" w:type="dxa"/>
                  <w:noWrap w:val="0"/>
                  <w:vAlign w:val="center"/>
                </w:tcPr>
                <w:p w14:paraId="1D41597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否</w:t>
                  </w:r>
                </w:p>
              </w:tc>
            </w:tr>
            <w:tr w14:paraId="7A2E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vMerge w:val="continue"/>
                  <w:noWrap w:val="0"/>
                  <w:vAlign w:val="center"/>
                </w:tcPr>
                <w:p w14:paraId="0BBAE0A7">
                  <w:pPr>
                    <w:pStyle w:val="65"/>
                    <w:keepNext w:val="0"/>
                    <w:keepLines w:val="0"/>
                    <w:adjustRightInd w:val="0"/>
                    <w:snapToGrid w:val="0"/>
                    <w:spacing w:line="240" w:lineRule="atLeast"/>
                    <w:jc w:val="center"/>
                    <w:rPr>
                      <w:rFonts w:hint="eastAsia"/>
                      <w:color w:val="auto"/>
                    </w:rPr>
                  </w:pPr>
                </w:p>
              </w:tc>
              <w:tc>
                <w:tcPr>
                  <w:tcW w:w="928" w:type="dxa"/>
                  <w:noWrap w:val="0"/>
                  <w:vAlign w:val="center"/>
                </w:tcPr>
                <w:p w14:paraId="7384E559">
                  <w:pPr>
                    <w:pStyle w:val="92"/>
                    <w:spacing w:line="276" w:lineRule="auto"/>
                    <w:rPr>
                      <w:rFonts w:hint="eastAsia" w:ascii="宋体" w:hAnsi="宋体" w:eastAsia="宋体" w:cs="宋体"/>
                      <w:color w:val="auto"/>
                      <w:spacing w:val="-1"/>
                      <w:sz w:val="21"/>
                      <w:szCs w:val="21"/>
                      <w:lang w:val="en-US" w:eastAsia="zh-CN"/>
                    </w:rPr>
                  </w:pPr>
                  <w:r>
                    <w:rPr>
                      <w:rFonts w:hint="eastAsia"/>
                    </w:rPr>
                    <w:t>火炬</w:t>
                  </w:r>
                </w:p>
              </w:tc>
              <w:tc>
                <w:tcPr>
                  <w:tcW w:w="2692" w:type="dxa"/>
                  <w:noWrap w:val="0"/>
                  <w:vAlign w:val="center"/>
                </w:tcPr>
                <w:p w14:paraId="6C8F8624">
                  <w:pPr>
                    <w:pStyle w:val="92"/>
                    <w:spacing w:line="276" w:lineRule="auto"/>
                    <w:jc w:val="both"/>
                    <w:rPr>
                      <w:rFonts w:hint="eastAsia"/>
                      <w:color w:val="auto"/>
                      <w:lang w:val="en-US" w:eastAsia="zh-CN"/>
                    </w:rPr>
                  </w:pPr>
                  <w:r>
                    <w:rPr>
                      <w:rFonts w:hint="eastAsia" w:cs="Times New Roman"/>
                    </w:rPr>
                    <w:t>位于厂界西面5m处，内燃式火炬，流量：400m</w:t>
                  </w:r>
                  <w:r>
                    <w:rPr>
                      <w:rFonts w:hint="eastAsia" w:cs="Times New Roman"/>
                      <w:vertAlign w:val="superscript"/>
                    </w:rPr>
                    <w:t>3</w:t>
                  </w:r>
                  <w:r>
                    <w:rPr>
                      <w:rFonts w:hint="eastAsia" w:cs="Times New Roman"/>
                    </w:rPr>
                    <w:t>/h，带自动控制系统，用于沼气富余过多紧急处理。</w:t>
                  </w:r>
                </w:p>
              </w:tc>
              <w:tc>
                <w:tcPr>
                  <w:tcW w:w="2640" w:type="dxa"/>
                  <w:noWrap w:val="0"/>
                  <w:vAlign w:val="center"/>
                </w:tcPr>
                <w:p w14:paraId="0C4C0069">
                  <w:pPr>
                    <w:pStyle w:val="92"/>
                    <w:spacing w:line="276" w:lineRule="auto"/>
                    <w:jc w:val="both"/>
                    <w:rPr>
                      <w:rFonts w:hint="eastAsia"/>
                      <w:color w:val="auto"/>
                      <w:lang w:val="en-US" w:eastAsia="zh-CN"/>
                    </w:rPr>
                  </w:pPr>
                  <w:r>
                    <w:rPr>
                      <w:rFonts w:hint="eastAsia" w:cs="Times New Roman"/>
                    </w:rPr>
                    <w:t>位于厂界西面5m处，内燃式火炬，流量：400m</w:t>
                  </w:r>
                  <w:r>
                    <w:rPr>
                      <w:rFonts w:hint="eastAsia" w:cs="Times New Roman"/>
                      <w:vertAlign w:val="superscript"/>
                    </w:rPr>
                    <w:t>3</w:t>
                  </w:r>
                  <w:r>
                    <w:rPr>
                      <w:rFonts w:hint="eastAsia" w:cs="Times New Roman"/>
                    </w:rPr>
                    <w:t>/h，带自动控制系统，用于沼气富余过多紧急处理。</w:t>
                  </w:r>
                </w:p>
              </w:tc>
              <w:tc>
                <w:tcPr>
                  <w:tcW w:w="845" w:type="dxa"/>
                  <w:noWrap w:val="0"/>
                  <w:vAlign w:val="center"/>
                </w:tcPr>
                <w:p w14:paraId="3D9A928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eastAsia="zh-CN"/>
                    </w:rPr>
                    <w:t>与环评一致</w:t>
                  </w:r>
                </w:p>
              </w:tc>
              <w:tc>
                <w:tcPr>
                  <w:tcW w:w="1767" w:type="dxa"/>
                  <w:noWrap w:val="0"/>
                  <w:vAlign w:val="center"/>
                </w:tcPr>
                <w:p w14:paraId="1C3E671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6E80C2A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4711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vMerge w:val="continue"/>
                  <w:noWrap w:val="0"/>
                  <w:vAlign w:val="center"/>
                </w:tcPr>
                <w:p w14:paraId="7293B773">
                  <w:pPr>
                    <w:pStyle w:val="65"/>
                    <w:keepNext w:val="0"/>
                    <w:keepLines w:val="0"/>
                    <w:adjustRightInd w:val="0"/>
                    <w:snapToGrid w:val="0"/>
                    <w:spacing w:line="240" w:lineRule="atLeast"/>
                    <w:jc w:val="center"/>
                    <w:rPr>
                      <w:rFonts w:hint="eastAsia"/>
                      <w:color w:val="auto"/>
                    </w:rPr>
                  </w:pPr>
                </w:p>
              </w:tc>
              <w:tc>
                <w:tcPr>
                  <w:tcW w:w="928" w:type="dxa"/>
                  <w:noWrap w:val="0"/>
                  <w:vAlign w:val="center"/>
                </w:tcPr>
                <w:p w14:paraId="5BC8F363">
                  <w:pPr>
                    <w:pStyle w:val="92"/>
                    <w:spacing w:line="276" w:lineRule="auto"/>
                    <w:rPr>
                      <w:rFonts w:hint="eastAsia" w:ascii="宋体" w:hAnsi="宋体" w:eastAsia="宋体" w:cs="宋体"/>
                      <w:color w:val="auto"/>
                      <w:spacing w:val="-1"/>
                      <w:sz w:val="21"/>
                      <w:szCs w:val="21"/>
                      <w:lang w:val="en-US" w:eastAsia="zh-CN"/>
                    </w:rPr>
                  </w:pPr>
                  <w:r>
                    <w:rPr>
                      <w:rFonts w:cs="Times New Roman"/>
                    </w:rPr>
                    <w:t>门卫室</w:t>
                  </w:r>
                </w:p>
              </w:tc>
              <w:tc>
                <w:tcPr>
                  <w:tcW w:w="2692" w:type="dxa"/>
                  <w:noWrap w:val="0"/>
                  <w:vAlign w:val="center"/>
                </w:tcPr>
                <w:p w14:paraId="03F9C61D">
                  <w:pPr>
                    <w:pStyle w:val="92"/>
                    <w:spacing w:line="276" w:lineRule="auto"/>
                    <w:jc w:val="both"/>
                    <w:rPr>
                      <w:rFonts w:hint="eastAsia"/>
                      <w:color w:val="auto"/>
                      <w:lang w:val="en-US" w:eastAsia="zh-CN"/>
                    </w:rPr>
                  </w:pPr>
                  <w:r>
                    <w:rPr>
                      <w:rFonts w:cs="Times New Roman"/>
                    </w:rPr>
                    <w:t>拟建门卫室位于厂区最北侧，大门东侧，设计占地面积</w:t>
                  </w:r>
                  <w:r>
                    <w:rPr>
                      <w:rFonts w:hint="eastAsia" w:hAnsi="宋体"/>
                    </w:rPr>
                    <w:t>为26.45m</w:t>
                  </w:r>
                  <w:r>
                    <w:rPr>
                      <w:rFonts w:hint="eastAsia" w:hAnsi="宋体"/>
                      <w:vertAlign w:val="superscript"/>
                    </w:rPr>
                    <w:t>2</w:t>
                  </w:r>
                  <w:r>
                    <w:rPr>
                      <w:rFonts w:hint="eastAsia" w:hAnsi="宋体"/>
                    </w:rPr>
                    <w:t>，建筑面积26.45m</w:t>
                  </w:r>
                  <w:r>
                    <w:rPr>
                      <w:rFonts w:hint="eastAsia" w:hAnsi="宋体"/>
                      <w:vertAlign w:val="superscript"/>
                    </w:rPr>
                    <w:t>2</w:t>
                  </w:r>
                  <w:r>
                    <w:rPr>
                      <w:rFonts w:hint="eastAsia" w:hAnsi="宋体"/>
                    </w:rPr>
                    <w:t>，以钢结构为主体结构，建筑高度4.75m，建筑层数1层。门卫室设置地磅的称重计量设备、休息室及卫生间。</w:t>
                  </w:r>
                </w:p>
              </w:tc>
              <w:tc>
                <w:tcPr>
                  <w:tcW w:w="2640" w:type="dxa"/>
                  <w:noWrap w:val="0"/>
                  <w:vAlign w:val="center"/>
                </w:tcPr>
                <w:p w14:paraId="7C555D59">
                  <w:pPr>
                    <w:pStyle w:val="92"/>
                    <w:spacing w:line="276" w:lineRule="auto"/>
                    <w:jc w:val="both"/>
                    <w:rPr>
                      <w:rFonts w:hint="eastAsia"/>
                      <w:color w:val="auto"/>
                      <w:lang w:val="en-US" w:eastAsia="zh-CN"/>
                    </w:rPr>
                  </w:pPr>
                  <w:r>
                    <w:rPr>
                      <w:rFonts w:cs="Times New Roman"/>
                    </w:rPr>
                    <w:t>门卫室位于厂区最北侧，大门东侧，设计占地面积</w:t>
                  </w:r>
                  <w:r>
                    <w:rPr>
                      <w:rFonts w:hint="eastAsia" w:hAnsi="宋体"/>
                    </w:rPr>
                    <w:t>为26.45m</w:t>
                  </w:r>
                  <w:r>
                    <w:rPr>
                      <w:rFonts w:hint="eastAsia" w:hAnsi="宋体"/>
                      <w:vertAlign w:val="superscript"/>
                    </w:rPr>
                    <w:t>2</w:t>
                  </w:r>
                  <w:r>
                    <w:rPr>
                      <w:rFonts w:hint="eastAsia" w:hAnsi="宋体"/>
                    </w:rPr>
                    <w:t>，建筑面积26.45m</w:t>
                  </w:r>
                  <w:r>
                    <w:rPr>
                      <w:rFonts w:hint="eastAsia" w:hAnsi="宋体"/>
                      <w:vertAlign w:val="superscript"/>
                    </w:rPr>
                    <w:t>2</w:t>
                  </w:r>
                  <w:r>
                    <w:rPr>
                      <w:rFonts w:hint="eastAsia" w:hAnsi="宋体"/>
                    </w:rPr>
                    <w:t>，以钢结构为主体结构，建筑高度4.75m，建筑层数1层。门卫室设置地磅的称重计量设备、休息室及卫生间。</w:t>
                  </w:r>
                </w:p>
              </w:tc>
              <w:tc>
                <w:tcPr>
                  <w:tcW w:w="845" w:type="dxa"/>
                  <w:noWrap w:val="0"/>
                  <w:vAlign w:val="center"/>
                </w:tcPr>
                <w:p w14:paraId="419537B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eastAsia="zh-CN"/>
                    </w:rPr>
                    <w:t>与环评一致</w:t>
                  </w:r>
                </w:p>
              </w:tc>
              <w:tc>
                <w:tcPr>
                  <w:tcW w:w="1767" w:type="dxa"/>
                  <w:noWrap w:val="0"/>
                  <w:vAlign w:val="center"/>
                </w:tcPr>
                <w:p w14:paraId="6CF6FEC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376E800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6CC7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vMerge w:val="continue"/>
                  <w:noWrap w:val="0"/>
                  <w:vAlign w:val="center"/>
                </w:tcPr>
                <w:p w14:paraId="4951C9D9">
                  <w:pPr>
                    <w:pStyle w:val="65"/>
                    <w:keepNext w:val="0"/>
                    <w:keepLines w:val="0"/>
                    <w:adjustRightInd w:val="0"/>
                    <w:snapToGrid w:val="0"/>
                    <w:spacing w:line="240" w:lineRule="atLeast"/>
                    <w:jc w:val="center"/>
                    <w:rPr>
                      <w:rFonts w:hint="eastAsia"/>
                      <w:color w:val="auto"/>
                    </w:rPr>
                  </w:pPr>
                </w:p>
              </w:tc>
              <w:tc>
                <w:tcPr>
                  <w:tcW w:w="928" w:type="dxa"/>
                  <w:noWrap w:val="0"/>
                  <w:vAlign w:val="center"/>
                </w:tcPr>
                <w:p w14:paraId="3DC08207">
                  <w:pPr>
                    <w:pStyle w:val="92"/>
                    <w:spacing w:line="276" w:lineRule="auto"/>
                    <w:rPr>
                      <w:rFonts w:hint="eastAsia" w:ascii="宋体" w:hAnsi="宋体" w:eastAsia="宋体" w:cs="宋体"/>
                      <w:color w:val="auto"/>
                      <w:spacing w:val="-1"/>
                      <w:sz w:val="21"/>
                      <w:szCs w:val="21"/>
                      <w:lang w:val="en-US" w:eastAsia="zh-CN"/>
                    </w:rPr>
                  </w:pPr>
                  <w:r>
                    <w:rPr>
                      <w:rFonts w:hint="eastAsia"/>
                    </w:rPr>
                    <w:t>地磅</w:t>
                  </w:r>
                </w:p>
              </w:tc>
              <w:tc>
                <w:tcPr>
                  <w:tcW w:w="2692" w:type="dxa"/>
                  <w:noWrap w:val="0"/>
                  <w:vAlign w:val="center"/>
                </w:tcPr>
                <w:p w14:paraId="69953A10">
                  <w:pPr>
                    <w:pStyle w:val="92"/>
                    <w:spacing w:line="276" w:lineRule="auto"/>
                    <w:jc w:val="both"/>
                    <w:rPr>
                      <w:rFonts w:hint="eastAsia"/>
                      <w:color w:val="auto"/>
                      <w:lang w:val="en-US" w:eastAsia="zh-CN"/>
                    </w:rPr>
                  </w:pPr>
                  <w:r>
                    <w:rPr>
                      <w:rFonts w:cs="Times New Roman"/>
                    </w:rPr>
                    <w:t>厂区大门西侧设置地磅。</w:t>
                  </w:r>
                </w:p>
              </w:tc>
              <w:tc>
                <w:tcPr>
                  <w:tcW w:w="2640" w:type="dxa"/>
                  <w:noWrap w:val="0"/>
                  <w:vAlign w:val="center"/>
                </w:tcPr>
                <w:p w14:paraId="4A864D91">
                  <w:pPr>
                    <w:pStyle w:val="92"/>
                    <w:spacing w:line="276" w:lineRule="auto"/>
                    <w:jc w:val="both"/>
                    <w:rPr>
                      <w:rFonts w:hint="eastAsia"/>
                      <w:color w:val="auto"/>
                      <w:lang w:val="en-US" w:eastAsia="zh-CN"/>
                    </w:rPr>
                  </w:pPr>
                  <w:r>
                    <w:rPr>
                      <w:rFonts w:cs="Times New Roman"/>
                    </w:rPr>
                    <w:t>厂区大门西侧设置地磅。</w:t>
                  </w:r>
                </w:p>
              </w:tc>
              <w:tc>
                <w:tcPr>
                  <w:tcW w:w="845" w:type="dxa"/>
                  <w:noWrap w:val="0"/>
                  <w:vAlign w:val="center"/>
                </w:tcPr>
                <w:p w14:paraId="35C53F9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eastAsia="zh-CN"/>
                    </w:rPr>
                    <w:t>与环评一致</w:t>
                  </w:r>
                </w:p>
              </w:tc>
              <w:tc>
                <w:tcPr>
                  <w:tcW w:w="1767" w:type="dxa"/>
                  <w:noWrap w:val="0"/>
                  <w:vAlign w:val="center"/>
                </w:tcPr>
                <w:p w14:paraId="6797928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02AD8AE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202C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noWrap w:val="0"/>
                  <w:vAlign w:val="center"/>
                </w:tcPr>
                <w:p w14:paraId="6C61C123">
                  <w:pPr>
                    <w:adjustRightInd w:val="0"/>
                    <w:snapToGrid w:val="0"/>
                    <w:spacing w:line="240" w:lineRule="atLeast"/>
                    <w:jc w:val="center"/>
                    <w:rPr>
                      <w:rFonts w:hint="default"/>
                      <w:color w:val="auto"/>
                      <w:lang w:val="en-US" w:eastAsia="zh-CN"/>
                    </w:rPr>
                  </w:pPr>
                  <w:r>
                    <w:rPr>
                      <w:rFonts w:hint="eastAsia"/>
                      <w:color w:val="auto"/>
                      <w:lang w:val="en-US" w:eastAsia="zh-CN"/>
                    </w:rPr>
                    <w:t>公用工程</w:t>
                  </w:r>
                </w:p>
              </w:tc>
              <w:tc>
                <w:tcPr>
                  <w:tcW w:w="928" w:type="dxa"/>
                  <w:noWrap w:val="0"/>
                  <w:vAlign w:val="center"/>
                </w:tcPr>
                <w:p w14:paraId="49A9544E">
                  <w:pPr>
                    <w:pStyle w:val="92"/>
                    <w:spacing w:line="276" w:lineRule="auto"/>
                    <w:rPr>
                      <w:rFonts w:hint="default" w:ascii="宋体" w:hAnsi="宋体" w:eastAsia="宋体" w:cs="宋体"/>
                      <w:color w:val="auto"/>
                      <w:spacing w:val="-1"/>
                      <w:sz w:val="21"/>
                      <w:szCs w:val="21"/>
                      <w:lang w:val="en-US" w:eastAsia="zh-CN"/>
                    </w:rPr>
                  </w:pPr>
                  <w:r>
                    <w:rPr>
                      <w:rFonts w:cs="Times New Roman"/>
                    </w:rPr>
                    <w:t>供水</w:t>
                  </w:r>
                </w:p>
              </w:tc>
              <w:tc>
                <w:tcPr>
                  <w:tcW w:w="2692" w:type="dxa"/>
                  <w:noWrap w:val="0"/>
                  <w:vAlign w:val="center"/>
                </w:tcPr>
                <w:p w14:paraId="0F34002D">
                  <w:pPr>
                    <w:pStyle w:val="92"/>
                    <w:spacing w:line="276" w:lineRule="auto"/>
                    <w:ind w:firstLine="420" w:firstLineChars="200"/>
                    <w:jc w:val="both"/>
                    <w:rPr>
                      <w:rFonts w:hint="default"/>
                      <w:color w:val="auto"/>
                      <w:lang w:val="en-US" w:eastAsia="zh-CN"/>
                    </w:rPr>
                  </w:pPr>
                  <w:r>
                    <w:rPr>
                      <w:rFonts w:cs="Times New Roman"/>
                    </w:rPr>
                    <w:t>采用市政供水。</w:t>
                  </w:r>
                </w:p>
              </w:tc>
              <w:tc>
                <w:tcPr>
                  <w:tcW w:w="2640" w:type="dxa"/>
                  <w:noWrap w:val="0"/>
                  <w:vAlign w:val="center"/>
                </w:tcPr>
                <w:p w14:paraId="0A321230">
                  <w:pPr>
                    <w:pStyle w:val="92"/>
                    <w:spacing w:line="276" w:lineRule="auto"/>
                    <w:ind w:firstLine="420" w:firstLineChars="200"/>
                    <w:jc w:val="both"/>
                    <w:rPr>
                      <w:rFonts w:hint="eastAsia"/>
                      <w:color w:val="auto"/>
                      <w:lang w:val="en-US" w:eastAsia="zh-CN"/>
                    </w:rPr>
                  </w:pPr>
                  <w:r>
                    <w:rPr>
                      <w:rFonts w:cs="Times New Roman"/>
                    </w:rPr>
                    <w:t>采用市政供水。</w:t>
                  </w:r>
                </w:p>
              </w:tc>
              <w:tc>
                <w:tcPr>
                  <w:tcW w:w="845" w:type="dxa"/>
                  <w:noWrap w:val="0"/>
                  <w:vAlign w:val="center"/>
                </w:tcPr>
                <w:p w14:paraId="7003849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eastAsia="zh-CN"/>
                    </w:rPr>
                    <w:t>与环评一致</w:t>
                  </w:r>
                </w:p>
              </w:tc>
              <w:tc>
                <w:tcPr>
                  <w:tcW w:w="1767" w:type="dxa"/>
                  <w:noWrap w:val="0"/>
                  <w:vAlign w:val="center"/>
                </w:tcPr>
                <w:p w14:paraId="54EB6D5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6D96804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26FA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88" w:type="dxa"/>
                  <w:vMerge w:val="continue"/>
                  <w:noWrap w:val="0"/>
                  <w:vAlign w:val="center"/>
                </w:tcPr>
                <w:p w14:paraId="0C4C6F53">
                  <w:pPr>
                    <w:pStyle w:val="65"/>
                    <w:keepNext w:val="0"/>
                    <w:keepLines w:val="0"/>
                    <w:adjustRightInd w:val="0"/>
                    <w:snapToGrid w:val="0"/>
                    <w:spacing w:line="240" w:lineRule="atLeast"/>
                    <w:jc w:val="center"/>
                    <w:rPr>
                      <w:rFonts w:hint="default"/>
                      <w:color w:val="auto"/>
                      <w:lang w:val="en-US" w:eastAsia="zh-CN"/>
                    </w:rPr>
                  </w:pPr>
                </w:p>
              </w:tc>
              <w:tc>
                <w:tcPr>
                  <w:tcW w:w="928" w:type="dxa"/>
                  <w:noWrap w:val="0"/>
                  <w:vAlign w:val="center"/>
                </w:tcPr>
                <w:p w14:paraId="065A2B1C">
                  <w:pPr>
                    <w:pStyle w:val="92"/>
                    <w:spacing w:line="276" w:lineRule="auto"/>
                    <w:rPr>
                      <w:rFonts w:hint="default" w:ascii="宋体" w:hAnsi="宋体" w:eastAsia="宋体" w:cs="宋体"/>
                      <w:color w:val="auto"/>
                      <w:spacing w:val="-1"/>
                      <w:sz w:val="21"/>
                      <w:szCs w:val="21"/>
                      <w:lang w:val="en-US" w:eastAsia="zh-CN"/>
                    </w:rPr>
                  </w:pPr>
                  <w:r>
                    <w:rPr>
                      <w:rFonts w:cs="Times New Roman"/>
                    </w:rPr>
                    <w:t>排水</w:t>
                  </w:r>
                </w:p>
              </w:tc>
              <w:tc>
                <w:tcPr>
                  <w:tcW w:w="2692" w:type="dxa"/>
                  <w:noWrap w:val="0"/>
                  <w:vAlign w:val="center"/>
                </w:tcPr>
                <w:p w14:paraId="00D210C9">
                  <w:pPr>
                    <w:pStyle w:val="92"/>
                    <w:spacing w:line="276" w:lineRule="auto"/>
                    <w:jc w:val="both"/>
                    <w:rPr>
                      <w:rFonts w:hint="default"/>
                      <w:color w:val="auto"/>
                      <w:lang w:val="en-US" w:eastAsia="zh-CN"/>
                    </w:rPr>
                  </w:pPr>
                  <w:r>
                    <w:rPr>
                      <w:rFonts w:cs="Times New Roman"/>
                      <w:bCs/>
                    </w:rPr>
                    <w:t>采用雨污分流。雨水排放：建筑屋顶雨水经雨水斗收集后，与地面雨水通过雨水沟经外排至市政雨水管。生活污水</w:t>
                  </w:r>
                  <w:r>
                    <w:rPr>
                      <w:rFonts w:hint="eastAsia" w:cs="Times New Roman"/>
                      <w:bCs/>
                    </w:rPr>
                    <w:t>经</w:t>
                  </w:r>
                  <w:r>
                    <w:rPr>
                      <w:rFonts w:cs="Times New Roman"/>
                    </w:rPr>
                    <w:t>厂区</w:t>
                  </w:r>
                  <w:r>
                    <w:rPr>
                      <w:rFonts w:hint="eastAsia" w:cs="Times New Roman"/>
                      <w:bCs/>
                    </w:rPr>
                    <w:t>化粪池</w:t>
                  </w:r>
                  <w:r>
                    <w:rPr>
                      <w:rFonts w:cs="Times New Roman"/>
                      <w:bCs/>
                    </w:rPr>
                    <w:t>处理后</w:t>
                  </w:r>
                  <w:r>
                    <w:rPr>
                      <w:rFonts w:hint="eastAsia" w:cs="Times New Roman"/>
                      <w:bCs/>
                    </w:rPr>
                    <w:t>与预处理后的</w:t>
                  </w:r>
                  <w:r>
                    <w:rPr>
                      <w:rFonts w:cs="Times New Roman"/>
                      <w:bCs/>
                    </w:rPr>
                    <w:t>餐厨废水一并排入青川县生活垃圾处理厂的渗滤液处理厂处理。</w:t>
                  </w:r>
                </w:p>
              </w:tc>
              <w:tc>
                <w:tcPr>
                  <w:tcW w:w="2640" w:type="dxa"/>
                  <w:noWrap w:val="0"/>
                  <w:vAlign w:val="center"/>
                </w:tcPr>
                <w:p w14:paraId="5D1BC86B">
                  <w:pPr>
                    <w:pStyle w:val="92"/>
                    <w:spacing w:line="276" w:lineRule="auto"/>
                    <w:jc w:val="both"/>
                    <w:rPr>
                      <w:rFonts w:cs="Times New Roman"/>
                      <w:bCs/>
                    </w:rPr>
                  </w:pPr>
                  <w:r>
                    <w:rPr>
                      <w:rFonts w:cs="Times New Roman"/>
                      <w:bCs/>
                    </w:rPr>
                    <w:t>采用雨污分流。</w:t>
                  </w:r>
                </w:p>
                <w:p w14:paraId="5871E86A">
                  <w:pPr>
                    <w:pStyle w:val="92"/>
                    <w:spacing w:line="276" w:lineRule="auto"/>
                    <w:jc w:val="both"/>
                    <w:rPr>
                      <w:rFonts w:hint="eastAsia"/>
                      <w:color w:val="auto"/>
                      <w:lang w:val="en-US" w:eastAsia="zh-CN"/>
                    </w:rPr>
                  </w:pPr>
                  <w:r>
                    <w:rPr>
                      <w:rFonts w:cs="Times New Roman"/>
                      <w:bCs/>
                    </w:rPr>
                    <w:t>雨水排放：建筑屋顶雨水经雨水斗收集后，与地面雨水通过雨水沟经外排至市政雨水管。生活污水</w:t>
                  </w:r>
                  <w:r>
                    <w:rPr>
                      <w:rFonts w:hint="eastAsia" w:cs="Times New Roman"/>
                      <w:bCs/>
                    </w:rPr>
                    <w:t>经</w:t>
                  </w:r>
                  <w:r>
                    <w:rPr>
                      <w:rFonts w:cs="Times New Roman"/>
                    </w:rPr>
                    <w:t>厂区</w:t>
                  </w:r>
                  <w:r>
                    <w:rPr>
                      <w:rFonts w:hint="eastAsia" w:cs="Times New Roman"/>
                      <w:bCs/>
                    </w:rPr>
                    <w:t>化粪池</w:t>
                  </w:r>
                  <w:r>
                    <w:rPr>
                      <w:rFonts w:cs="Times New Roman"/>
                      <w:bCs/>
                    </w:rPr>
                    <w:t>处理后</w:t>
                  </w:r>
                  <w:r>
                    <w:rPr>
                      <w:rFonts w:hint="eastAsia" w:cs="Times New Roman"/>
                      <w:bCs/>
                    </w:rPr>
                    <w:t>与预处理后的</w:t>
                  </w:r>
                  <w:r>
                    <w:rPr>
                      <w:rFonts w:cs="Times New Roman"/>
                      <w:bCs/>
                    </w:rPr>
                    <w:t>餐厨废水一并排入青川县生活垃圾处理厂的渗滤液处理厂处理。</w:t>
                  </w:r>
                </w:p>
              </w:tc>
              <w:tc>
                <w:tcPr>
                  <w:tcW w:w="845" w:type="dxa"/>
                  <w:noWrap w:val="0"/>
                  <w:vAlign w:val="center"/>
                </w:tcPr>
                <w:p w14:paraId="7F9D7630">
                  <w:pPr>
                    <w:keepNext w:val="0"/>
                    <w:keepLines w:val="0"/>
                    <w:adjustRightInd w:val="0"/>
                    <w:snapToGrid w:val="0"/>
                    <w:spacing w:line="240" w:lineRule="atLeast"/>
                    <w:jc w:val="center"/>
                    <w:rPr>
                      <w:rFonts w:hint="eastAsia"/>
                      <w:color w:val="auto"/>
                      <w:lang w:val="en-US" w:eastAsia="zh-CN"/>
                    </w:rPr>
                  </w:pPr>
                  <w:r>
                    <w:rPr>
                      <w:rFonts w:hint="eastAsia"/>
                      <w:color w:val="auto"/>
                      <w:lang w:eastAsia="zh-CN"/>
                    </w:rPr>
                    <w:t>与环评一致</w:t>
                  </w:r>
                </w:p>
              </w:tc>
              <w:tc>
                <w:tcPr>
                  <w:tcW w:w="1767" w:type="dxa"/>
                  <w:noWrap w:val="0"/>
                  <w:vAlign w:val="center"/>
                </w:tcPr>
                <w:p w14:paraId="0860608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70B291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2D3A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88" w:type="dxa"/>
                  <w:vMerge w:val="continue"/>
                  <w:noWrap w:val="0"/>
                  <w:vAlign w:val="center"/>
                </w:tcPr>
                <w:p w14:paraId="09120E5F">
                  <w:pPr>
                    <w:pStyle w:val="65"/>
                    <w:keepNext w:val="0"/>
                    <w:keepLines w:val="0"/>
                    <w:adjustRightInd w:val="0"/>
                    <w:snapToGrid w:val="0"/>
                    <w:spacing w:line="240" w:lineRule="atLeast"/>
                    <w:jc w:val="center"/>
                    <w:rPr>
                      <w:rFonts w:hint="default"/>
                      <w:color w:val="auto"/>
                      <w:lang w:val="en-US" w:eastAsia="zh-CN"/>
                    </w:rPr>
                  </w:pPr>
                </w:p>
              </w:tc>
              <w:tc>
                <w:tcPr>
                  <w:tcW w:w="928" w:type="dxa"/>
                  <w:noWrap w:val="0"/>
                  <w:vAlign w:val="center"/>
                </w:tcPr>
                <w:p w14:paraId="68174D3F">
                  <w:pPr>
                    <w:pStyle w:val="92"/>
                    <w:spacing w:line="276" w:lineRule="auto"/>
                    <w:rPr>
                      <w:rFonts w:hint="eastAsia" w:ascii="宋体" w:hAnsi="宋体" w:eastAsia="宋体" w:cs="宋体"/>
                      <w:color w:val="auto"/>
                      <w:spacing w:val="-1"/>
                      <w:sz w:val="21"/>
                      <w:szCs w:val="21"/>
                      <w:lang w:val="en-US" w:eastAsia="zh-CN"/>
                    </w:rPr>
                  </w:pPr>
                  <w:r>
                    <w:rPr>
                      <w:rFonts w:cs="Times New Roman"/>
                    </w:rPr>
                    <w:t>供电</w:t>
                  </w:r>
                </w:p>
              </w:tc>
              <w:tc>
                <w:tcPr>
                  <w:tcW w:w="2692" w:type="dxa"/>
                  <w:noWrap w:val="0"/>
                  <w:vAlign w:val="center"/>
                </w:tcPr>
                <w:p w14:paraId="006CD6C1">
                  <w:pPr>
                    <w:pStyle w:val="92"/>
                    <w:spacing w:line="276" w:lineRule="auto"/>
                    <w:ind w:firstLine="420" w:firstLineChars="200"/>
                    <w:jc w:val="left"/>
                    <w:rPr>
                      <w:rFonts w:hint="eastAsia" w:ascii="宋体" w:hAnsi="宋体" w:eastAsia="宋体" w:cs="宋体"/>
                      <w:color w:val="auto"/>
                      <w:sz w:val="21"/>
                      <w:szCs w:val="21"/>
                      <w:lang w:val="en-US" w:eastAsia="zh-CN"/>
                    </w:rPr>
                  </w:pPr>
                  <w:r>
                    <w:rPr>
                      <w:rFonts w:cs="Times New Roman"/>
                    </w:rPr>
                    <w:t>采用市政供电。</w:t>
                  </w:r>
                </w:p>
              </w:tc>
              <w:tc>
                <w:tcPr>
                  <w:tcW w:w="2640" w:type="dxa"/>
                  <w:noWrap w:val="0"/>
                  <w:vAlign w:val="center"/>
                </w:tcPr>
                <w:p w14:paraId="4D07EAB5">
                  <w:pPr>
                    <w:pStyle w:val="92"/>
                    <w:spacing w:line="276" w:lineRule="auto"/>
                    <w:ind w:firstLine="420" w:firstLineChars="200"/>
                    <w:jc w:val="left"/>
                    <w:rPr>
                      <w:rFonts w:hint="eastAsia" w:ascii="宋体" w:hAnsi="宋体" w:eastAsia="宋体" w:cs="宋体"/>
                      <w:color w:val="auto"/>
                      <w:sz w:val="21"/>
                      <w:szCs w:val="21"/>
                      <w:lang w:val="en-US" w:eastAsia="zh-CN"/>
                    </w:rPr>
                  </w:pPr>
                  <w:r>
                    <w:rPr>
                      <w:rFonts w:cs="Times New Roman"/>
                    </w:rPr>
                    <w:t>采用市政供电。</w:t>
                  </w:r>
                </w:p>
              </w:tc>
              <w:tc>
                <w:tcPr>
                  <w:tcW w:w="845" w:type="dxa"/>
                  <w:noWrap w:val="0"/>
                  <w:vAlign w:val="center"/>
                </w:tcPr>
                <w:p w14:paraId="61464112">
                  <w:pPr>
                    <w:keepNext w:val="0"/>
                    <w:keepLines w:val="0"/>
                    <w:adjustRightInd w:val="0"/>
                    <w:snapToGrid w:val="0"/>
                    <w:spacing w:line="240" w:lineRule="atLeast"/>
                    <w:jc w:val="center"/>
                    <w:rPr>
                      <w:rFonts w:hint="eastAsia"/>
                      <w:color w:val="auto"/>
                      <w:lang w:eastAsia="zh-CN"/>
                    </w:rPr>
                  </w:pPr>
                  <w:r>
                    <w:rPr>
                      <w:rFonts w:hint="eastAsia"/>
                      <w:color w:val="auto"/>
                      <w:lang w:eastAsia="zh-CN"/>
                    </w:rPr>
                    <w:t>与环评一致</w:t>
                  </w:r>
                </w:p>
              </w:tc>
              <w:tc>
                <w:tcPr>
                  <w:tcW w:w="1767" w:type="dxa"/>
                  <w:noWrap w:val="0"/>
                  <w:vAlign w:val="center"/>
                </w:tcPr>
                <w:p w14:paraId="0EABE51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w:t>
                  </w:r>
                </w:p>
              </w:tc>
              <w:tc>
                <w:tcPr>
                  <w:tcW w:w="861" w:type="dxa"/>
                  <w:noWrap w:val="0"/>
                  <w:vAlign w:val="center"/>
                </w:tcPr>
                <w:p w14:paraId="3903F9A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w:t>
                  </w:r>
                </w:p>
              </w:tc>
            </w:tr>
            <w:tr w14:paraId="2DA4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88" w:type="dxa"/>
                  <w:vMerge w:val="continue"/>
                  <w:noWrap w:val="0"/>
                  <w:vAlign w:val="center"/>
                </w:tcPr>
                <w:p w14:paraId="35FC0F1C">
                  <w:pPr>
                    <w:pStyle w:val="65"/>
                    <w:keepNext w:val="0"/>
                    <w:keepLines w:val="0"/>
                    <w:adjustRightInd w:val="0"/>
                    <w:snapToGrid w:val="0"/>
                    <w:spacing w:line="240" w:lineRule="atLeast"/>
                    <w:jc w:val="center"/>
                    <w:rPr>
                      <w:rFonts w:hint="default"/>
                      <w:color w:val="auto"/>
                      <w:lang w:val="en-US" w:eastAsia="zh-CN"/>
                    </w:rPr>
                  </w:pPr>
                </w:p>
              </w:tc>
              <w:tc>
                <w:tcPr>
                  <w:tcW w:w="928" w:type="dxa"/>
                  <w:noWrap w:val="0"/>
                  <w:vAlign w:val="center"/>
                </w:tcPr>
                <w:p w14:paraId="1C9FEC62">
                  <w:pPr>
                    <w:pStyle w:val="92"/>
                    <w:spacing w:line="276" w:lineRule="auto"/>
                    <w:rPr>
                      <w:rFonts w:hint="eastAsia" w:ascii="宋体" w:hAnsi="宋体" w:eastAsia="宋体" w:cs="宋体"/>
                      <w:color w:val="auto"/>
                      <w:spacing w:val="-1"/>
                      <w:sz w:val="21"/>
                      <w:szCs w:val="21"/>
                      <w:lang w:val="en-US" w:eastAsia="zh-CN"/>
                    </w:rPr>
                  </w:pPr>
                  <w:r>
                    <w:rPr>
                      <w:rFonts w:cs="Times New Roman"/>
                    </w:rPr>
                    <w:t>消防系统</w:t>
                  </w:r>
                </w:p>
              </w:tc>
              <w:tc>
                <w:tcPr>
                  <w:tcW w:w="2692" w:type="dxa"/>
                  <w:noWrap w:val="0"/>
                  <w:vAlign w:val="center"/>
                </w:tcPr>
                <w:p w14:paraId="44EB9332">
                  <w:pPr>
                    <w:pStyle w:val="92"/>
                    <w:spacing w:line="276" w:lineRule="auto"/>
                    <w:jc w:val="left"/>
                    <w:rPr>
                      <w:rFonts w:hint="eastAsia" w:ascii="宋体" w:hAnsi="宋体" w:eastAsia="宋体" w:cs="宋体"/>
                      <w:color w:val="auto"/>
                      <w:sz w:val="21"/>
                      <w:szCs w:val="21"/>
                      <w:lang w:val="en-US" w:eastAsia="zh-CN"/>
                    </w:rPr>
                  </w:pPr>
                  <w:r>
                    <w:rPr>
                      <w:rFonts w:cs="Times New Roman"/>
                    </w:rPr>
                    <w:t>本项目新建一座消防水池，水池设计有效容积</w:t>
                  </w:r>
                  <w:r>
                    <w:rPr>
                      <w:rFonts w:hint="eastAsia" w:cs="Times New Roman"/>
                    </w:rPr>
                    <w:t>270m</w:t>
                  </w:r>
                  <w:r>
                    <w:rPr>
                      <w:rFonts w:hint="eastAsia" w:cs="Times New Roman"/>
                      <w:vertAlign w:val="superscript"/>
                    </w:rPr>
                    <w:t>3</w:t>
                  </w:r>
                  <w:r>
                    <w:rPr>
                      <w:rFonts w:hint="eastAsia" w:cs="Times New Roman"/>
                    </w:rPr>
                    <w:t>，设置两台消火栓泵，一备一用，消防管网绕建筑成环网状，管径DN100，本次设置两处室外消火栓，室内消火栓由消防环网引入。</w:t>
                  </w:r>
                </w:p>
              </w:tc>
              <w:tc>
                <w:tcPr>
                  <w:tcW w:w="2640" w:type="dxa"/>
                  <w:noWrap w:val="0"/>
                  <w:vAlign w:val="center"/>
                </w:tcPr>
                <w:p w14:paraId="58DBA143">
                  <w:pPr>
                    <w:pStyle w:val="92"/>
                    <w:spacing w:line="276" w:lineRule="auto"/>
                    <w:jc w:val="left"/>
                    <w:rPr>
                      <w:rFonts w:hint="eastAsia" w:ascii="宋体" w:hAnsi="宋体" w:eastAsia="宋体" w:cs="宋体"/>
                      <w:color w:val="auto"/>
                      <w:sz w:val="21"/>
                      <w:szCs w:val="21"/>
                      <w:lang w:val="en-US" w:eastAsia="zh-CN"/>
                    </w:rPr>
                  </w:pPr>
                  <w:r>
                    <w:rPr>
                      <w:rFonts w:cs="Times New Roman"/>
                    </w:rPr>
                    <w:t>本项目新建一座消防水池，水池设计有效容积</w:t>
                  </w:r>
                  <w:r>
                    <w:rPr>
                      <w:rFonts w:hint="eastAsia" w:cs="Times New Roman"/>
                    </w:rPr>
                    <w:t>270m</w:t>
                  </w:r>
                  <w:r>
                    <w:rPr>
                      <w:rFonts w:hint="eastAsia" w:cs="Times New Roman"/>
                      <w:vertAlign w:val="superscript"/>
                    </w:rPr>
                    <w:t>3</w:t>
                  </w:r>
                  <w:r>
                    <w:rPr>
                      <w:rFonts w:hint="eastAsia" w:cs="Times New Roman"/>
                    </w:rPr>
                    <w:t>，设置两台消火栓泵，一备一用，消防管网绕建筑成环网状，管径DN100，本次设置两处室外消火栓，室内消火栓由消防环网引入。</w:t>
                  </w:r>
                </w:p>
              </w:tc>
              <w:tc>
                <w:tcPr>
                  <w:tcW w:w="845" w:type="dxa"/>
                  <w:noWrap w:val="0"/>
                  <w:vAlign w:val="center"/>
                </w:tcPr>
                <w:p w14:paraId="12F53F9A">
                  <w:pPr>
                    <w:keepNext w:val="0"/>
                    <w:keepLines w:val="0"/>
                    <w:adjustRightInd w:val="0"/>
                    <w:snapToGrid w:val="0"/>
                    <w:spacing w:line="240" w:lineRule="atLeast"/>
                    <w:jc w:val="center"/>
                    <w:rPr>
                      <w:rFonts w:hint="eastAsia"/>
                      <w:color w:val="auto"/>
                      <w:lang w:eastAsia="zh-CN"/>
                    </w:rPr>
                  </w:pPr>
                  <w:r>
                    <w:rPr>
                      <w:rFonts w:hint="eastAsia"/>
                      <w:color w:val="auto"/>
                      <w:lang w:eastAsia="zh-CN"/>
                    </w:rPr>
                    <w:t>与环评一致</w:t>
                  </w:r>
                </w:p>
              </w:tc>
              <w:tc>
                <w:tcPr>
                  <w:tcW w:w="1767" w:type="dxa"/>
                  <w:noWrap w:val="0"/>
                  <w:vAlign w:val="center"/>
                </w:tcPr>
                <w:p w14:paraId="75CDD31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w:t>
                  </w:r>
                </w:p>
              </w:tc>
              <w:tc>
                <w:tcPr>
                  <w:tcW w:w="861" w:type="dxa"/>
                  <w:noWrap w:val="0"/>
                  <w:vAlign w:val="center"/>
                </w:tcPr>
                <w:p w14:paraId="40E6ACB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w:t>
                  </w:r>
                </w:p>
              </w:tc>
            </w:tr>
            <w:tr w14:paraId="3081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vMerge w:val="restart"/>
                  <w:noWrap w:val="0"/>
                  <w:vAlign w:val="center"/>
                </w:tcPr>
                <w:p w14:paraId="6B641C34">
                  <w:pPr>
                    <w:adjustRightInd w:val="0"/>
                    <w:jc w:val="center"/>
                    <w:rPr>
                      <w:rFonts w:hint="eastAsia"/>
                      <w:color w:val="auto"/>
                    </w:rPr>
                  </w:pPr>
                  <w:r>
                    <w:rPr>
                      <w:rFonts w:hint="eastAsia"/>
                      <w:color w:val="auto"/>
                    </w:rPr>
                    <w:t>环保</w:t>
                  </w:r>
                </w:p>
                <w:p w14:paraId="490B1CF3">
                  <w:pPr>
                    <w:pStyle w:val="65"/>
                    <w:keepNext w:val="0"/>
                    <w:keepLines w:val="0"/>
                    <w:adjustRightInd w:val="0"/>
                    <w:snapToGrid w:val="0"/>
                    <w:spacing w:line="240" w:lineRule="atLeast"/>
                    <w:jc w:val="center"/>
                    <w:rPr>
                      <w:rFonts w:hint="eastAsia"/>
                      <w:color w:val="auto"/>
                      <w:lang w:val="en-US" w:eastAsia="zh-CN"/>
                    </w:rPr>
                  </w:pPr>
                  <w:r>
                    <w:rPr>
                      <w:rFonts w:hint="eastAsia"/>
                      <w:color w:val="auto"/>
                    </w:rPr>
                    <w:t>工程</w:t>
                  </w:r>
                </w:p>
              </w:tc>
              <w:tc>
                <w:tcPr>
                  <w:tcW w:w="928" w:type="dxa"/>
                  <w:noWrap w:val="0"/>
                  <w:vAlign w:val="center"/>
                </w:tcPr>
                <w:p w14:paraId="10A5ED6B">
                  <w:pPr>
                    <w:spacing w:line="360" w:lineRule="auto"/>
                    <w:jc w:val="center"/>
                    <w:rPr>
                      <w:rFonts w:hint="default"/>
                      <w:color w:val="auto"/>
                      <w:lang w:val="en-US" w:eastAsia="zh-CN"/>
                    </w:rPr>
                  </w:pPr>
                  <w:r>
                    <w:rPr>
                      <w:rFonts w:hint="eastAsia" w:ascii="宋体" w:hAnsi="宋体" w:eastAsia="宋体" w:cs="宋体"/>
                      <w:bCs/>
                      <w:color w:val="auto"/>
                      <w:kern w:val="2"/>
                      <w:sz w:val="21"/>
                      <w:szCs w:val="21"/>
                      <w:lang w:val="en-US" w:eastAsia="zh-CN" w:bidi="ar-SA"/>
                    </w:rPr>
                    <w:t>废气</w:t>
                  </w:r>
                </w:p>
              </w:tc>
              <w:tc>
                <w:tcPr>
                  <w:tcW w:w="2692" w:type="dxa"/>
                  <w:noWrap w:val="0"/>
                  <w:vAlign w:val="center"/>
                </w:tcPr>
                <w:p w14:paraId="4C0A0366">
                  <w:pPr>
                    <w:pStyle w:val="92"/>
                    <w:spacing w:line="276" w:lineRule="auto"/>
                    <w:jc w:val="both"/>
                    <w:rPr>
                      <w:rStyle w:val="41"/>
                      <w:rFonts w:cs="Times New Roman"/>
                      <w:kern w:val="0"/>
                      <w:szCs w:val="20"/>
                    </w:rPr>
                  </w:pPr>
                  <w:r>
                    <w:rPr>
                      <w:rStyle w:val="41"/>
                      <w:rFonts w:hint="eastAsia" w:cs="Times New Roman"/>
                      <w:kern w:val="0"/>
                      <w:szCs w:val="20"/>
                    </w:rPr>
                    <w:t>餐厨垃圾处理系统废气：拟对各设备处加装集气罩收集臭气，对车间作业区全封闭，设置二道封闭措施，采用门帘处理，室内采用负压运行，臭气由风机引至碱洗喷淋塔+生物吸附床处理后通过15m高的DA001排放。</w:t>
                  </w:r>
                </w:p>
                <w:p w14:paraId="3478E2BE">
                  <w:pPr>
                    <w:pStyle w:val="92"/>
                    <w:spacing w:line="276" w:lineRule="auto"/>
                    <w:jc w:val="both"/>
                    <w:rPr>
                      <w:kern w:val="0"/>
                    </w:rPr>
                  </w:pPr>
                  <w:r>
                    <w:rPr>
                      <w:rStyle w:val="41"/>
                      <w:rFonts w:hint="eastAsia" w:cs="Times New Roman"/>
                      <w:kern w:val="0"/>
                      <w:szCs w:val="20"/>
                    </w:rPr>
                    <w:t>接料废气：</w:t>
                  </w:r>
                  <w:r>
                    <w:rPr>
                      <w:kern w:val="0"/>
                    </w:rPr>
                    <w:t>采用植物提取液（恶臭抑制剂）高压喷雾脱臭装置定期喷淋除臭并与</w:t>
                  </w:r>
                  <w:r>
                    <w:rPr>
                      <w:rFonts w:hint="eastAsia"/>
                      <w:kern w:val="0"/>
                    </w:rPr>
                    <w:t>餐厨垃圾处理间</w:t>
                  </w:r>
                  <w:r>
                    <w:rPr>
                      <w:kern w:val="0"/>
                    </w:rPr>
                    <w:t>负压抽气系统联合使用。</w:t>
                  </w:r>
                  <w:r>
                    <w:rPr>
                      <w:rFonts w:hint="eastAsia"/>
                    </w:rPr>
                    <w:t>厌氧发酵区废气（剩余沼气）：</w:t>
                  </w:r>
                  <w:r>
                    <w:rPr>
                      <w:kern w:val="0"/>
                    </w:rPr>
                    <w:t>设1套沼气净化系统+沼气利用系统+紧急火炬。</w:t>
                  </w:r>
                </w:p>
                <w:p w14:paraId="3ED30140">
                  <w:pPr>
                    <w:pStyle w:val="92"/>
                    <w:spacing w:line="276" w:lineRule="auto"/>
                    <w:jc w:val="both"/>
                    <w:rPr>
                      <w:rFonts w:hint="default"/>
                      <w:color w:val="auto"/>
                      <w:lang w:val="en-US" w:eastAsia="zh-CN"/>
                    </w:rPr>
                  </w:pPr>
                  <w:r>
                    <w:rPr>
                      <w:rFonts w:hint="eastAsia"/>
                    </w:rPr>
                    <w:t>污水处理站废气：污水站全密闭设计，由于本项目污水处理设计工艺为厌氧工艺，仅缓慢产生少量臭气，要求在污水处理站附近增加绿植覆盖处理。热水炉燃烧废气：沼气为清洁能源，燃烧后的废气经15m高的DA002排放。</w:t>
                  </w:r>
                </w:p>
              </w:tc>
              <w:tc>
                <w:tcPr>
                  <w:tcW w:w="2640" w:type="dxa"/>
                  <w:noWrap w:val="0"/>
                  <w:vAlign w:val="center"/>
                </w:tcPr>
                <w:p w14:paraId="58F6889E">
                  <w:pPr>
                    <w:pStyle w:val="92"/>
                    <w:spacing w:line="276" w:lineRule="auto"/>
                    <w:jc w:val="both"/>
                    <w:rPr>
                      <w:rFonts w:hint="default"/>
                      <w:color w:val="auto"/>
                      <w:lang w:val="en-US" w:eastAsia="zh-CN"/>
                    </w:rPr>
                  </w:pPr>
                  <w:r>
                    <w:rPr>
                      <w:rStyle w:val="41"/>
                      <w:rFonts w:hint="eastAsia" w:cs="Times New Roman"/>
                      <w:kern w:val="0"/>
                      <w:szCs w:val="20"/>
                    </w:rPr>
                    <w:t>餐厨垃圾处理系统废气：对各设备处加装集气罩收集臭气，对车间作业区全封闭，设置二道封闭措施，采用门帘处理，室内采用负压运行，臭气由风机引至碱洗喷淋塔+生物吸附床处理后通过15m高的DA001排放。接料废气：</w:t>
                  </w:r>
                  <w:r>
                    <w:rPr>
                      <w:kern w:val="0"/>
                    </w:rPr>
                    <w:t>采用植物提取液（恶臭抑制剂）高压喷雾脱臭装置定期喷淋除臭并与</w:t>
                  </w:r>
                  <w:r>
                    <w:rPr>
                      <w:rFonts w:hint="eastAsia"/>
                      <w:kern w:val="0"/>
                    </w:rPr>
                    <w:t>餐厨垃圾处理间</w:t>
                  </w:r>
                  <w:r>
                    <w:rPr>
                      <w:kern w:val="0"/>
                    </w:rPr>
                    <w:t>负压抽气系统联合使用。</w:t>
                  </w:r>
                  <w:r>
                    <w:rPr>
                      <w:rFonts w:hint="eastAsia"/>
                    </w:rPr>
                    <w:t>厌氧发酵区废气（剩余沼气）：</w:t>
                  </w:r>
                  <w:r>
                    <w:rPr>
                      <w:kern w:val="0"/>
                    </w:rPr>
                    <w:t>设1套沼气净化系统+沼气利用系统+紧急火炬。</w:t>
                  </w:r>
                  <w:r>
                    <w:rPr>
                      <w:rFonts w:hint="eastAsia"/>
                    </w:rPr>
                    <w:t>污水处理站废气：污水站全密闭设计，由于本项目污水处理设计工艺为厌氧工艺，仅缓慢产生少量臭气，要求在污水处理站附近增加绿植覆盖处理。热水炉燃烧废气：燃烧后的废气经</w:t>
                  </w:r>
                  <w:r>
                    <w:rPr>
                      <w:rFonts w:hint="eastAsia"/>
                      <w:lang w:val="en-US" w:eastAsia="zh-CN"/>
                    </w:rPr>
                    <w:t>8</w:t>
                  </w:r>
                  <w:r>
                    <w:rPr>
                      <w:rFonts w:hint="eastAsia"/>
                    </w:rPr>
                    <w:t>m高的DA002排放。</w:t>
                  </w:r>
                </w:p>
              </w:tc>
              <w:tc>
                <w:tcPr>
                  <w:tcW w:w="845" w:type="dxa"/>
                  <w:noWrap w:val="0"/>
                  <w:vAlign w:val="center"/>
                </w:tcPr>
                <w:p w14:paraId="1CD00F1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lang w:val="en-US" w:eastAsia="zh-CN"/>
                    </w:rPr>
                  </w:pPr>
                  <w:r>
                    <w:rPr>
                      <w:rFonts w:hint="eastAsia"/>
                      <w:color w:val="auto"/>
                      <w:lang w:eastAsia="zh-CN"/>
                    </w:rPr>
                    <w:t>热水炉为燃油锅炉，排气筒高度为</w:t>
                  </w:r>
                  <w:r>
                    <w:rPr>
                      <w:rFonts w:hint="eastAsia"/>
                      <w:color w:val="auto"/>
                      <w:lang w:val="en-US" w:eastAsia="zh-CN"/>
                    </w:rPr>
                    <w:t>8m</w:t>
                  </w:r>
                </w:p>
              </w:tc>
              <w:tc>
                <w:tcPr>
                  <w:tcW w:w="1767" w:type="dxa"/>
                  <w:noWrap w:val="0"/>
                  <w:vAlign w:val="center"/>
                </w:tcPr>
                <w:p w14:paraId="775E8A2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项目沼气产生量少，不满足需要，故改用燃油锅炉，排放的气体污染小，满足要求</w:t>
                  </w:r>
                </w:p>
              </w:tc>
              <w:tc>
                <w:tcPr>
                  <w:tcW w:w="861" w:type="dxa"/>
                  <w:noWrap w:val="0"/>
                  <w:vAlign w:val="center"/>
                </w:tcPr>
                <w:p w14:paraId="1CD2E3D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否</w:t>
                  </w:r>
                </w:p>
              </w:tc>
            </w:tr>
            <w:tr w14:paraId="7B04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88" w:type="dxa"/>
                  <w:vMerge w:val="continue"/>
                  <w:noWrap w:val="0"/>
                  <w:vAlign w:val="center"/>
                </w:tcPr>
                <w:p w14:paraId="0CA9CDFB">
                  <w:pPr>
                    <w:pStyle w:val="65"/>
                    <w:keepNext w:val="0"/>
                    <w:keepLines w:val="0"/>
                    <w:adjustRightInd w:val="0"/>
                    <w:snapToGrid w:val="0"/>
                    <w:spacing w:line="240" w:lineRule="atLeast"/>
                    <w:jc w:val="center"/>
                    <w:rPr>
                      <w:rFonts w:hint="eastAsia"/>
                      <w:color w:val="auto"/>
                      <w:lang w:val="en-US" w:eastAsia="zh-CN"/>
                    </w:rPr>
                  </w:pPr>
                </w:p>
              </w:tc>
              <w:tc>
                <w:tcPr>
                  <w:tcW w:w="928" w:type="dxa"/>
                  <w:noWrap w:val="0"/>
                  <w:vAlign w:val="center"/>
                </w:tcPr>
                <w:p w14:paraId="5BA22329">
                  <w:pPr>
                    <w:spacing w:line="360" w:lineRule="auto"/>
                    <w:jc w:val="center"/>
                    <w:rPr>
                      <w:rFonts w:hint="eastAsia"/>
                      <w:color w:val="auto"/>
                    </w:rPr>
                  </w:pPr>
                  <w:r>
                    <w:rPr>
                      <w:rFonts w:hint="eastAsia" w:ascii="宋体" w:hAnsi="宋体" w:eastAsia="宋体" w:cs="宋体"/>
                      <w:bCs/>
                      <w:color w:val="auto"/>
                      <w:kern w:val="2"/>
                      <w:sz w:val="21"/>
                      <w:szCs w:val="21"/>
                      <w:lang w:val="en-US" w:eastAsia="zh-CN" w:bidi="ar-SA"/>
                    </w:rPr>
                    <w:t>废水</w:t>
                  </w:r>
                </w:p>
              </w:tc>
              <w:tc>
                <w:tcPr>
                  <w:tcW w:w="2692" w:type="dxa"/>
                  <w:noWrap w:val="0"/>
                  <w:vAlign w:val="center"/>
                </w:tcPr>
                <w:p w14:paraId="0B0E8577">
                  <w:pPr>
                    <w:spacing w:line="240" w:lineRule="auto"/>
                    <w:jc w:val="center"/>
                    <w:rPr>
                      <w:rFonts w:hint="eastAsia"/>
                      <w:color w:val="auto"/>
                    </w:rPr>
                  </w:pPr>
                  <w:r>
                    <w:rPr>
                      <w:rFonts w:hint="eastAsia"/>
                    </w:rPr>
                    <w:t>生活污水经化粪池处理后，进入处理生产废水污水处理站；生产废水拟建1座污水处理站（日处理能力18m</w:t>
                  </w:r>
                  <w:r>
                    <w:rPr>
                      <w:rFonts w:hint="eastAsia"/>
                      <w:vertAlign w:val="superscript"/>
                    </w:rPr>
                    <w:t>3</w:t>
                  </w:r>
                  <w:r>
                    <w:rPr>
                      <w:rFonts w:hint="eastAsia"/>
                    </w:rPr>
                    <w:t>），设计为地上一体化装置，采用“调节池+CSTR厌氧反应器”工艺处理达污水处理协议中废水接纳标准后，排入青川县生活垃圾处理厂渗滤液处理厂。</w:t>
                  </w:r>
                </w:p>
              </w:tc>
              <w:tc>
                <w:tcPr>
                  <w:tcW w:w="2640" w:type="dxa"/>
                  <w:noWrap w:val="0"/>
                  <w:vAlign w:val="center"/>
                </w:tcPr>
                <w:p w14:paraId="0B6D20E5">
                  <w:pPr>
                    <w:spacing w:line="240" w:lineRule="auto"/>
                    <w:jc w:val="center"/>
                    <w:rPr>
                      <w:rFonts w:hint="eastAsia"/>
                      <w:color w:val="auto"/>
                      <w:lang w:val="en-US" w:eastAsia="zh-CN"/>
                    </w:rPr>
                  </w:pPr>
                  <w:r>
                    <w:rPr>
                      <w:rFonts w:hint="eastAsia"/>
                    </w:rPr>
                    <w:t>生活污水经化粪池处理后，</w:t>
                  </w:r>
                  <w:r>
                    <w:rPr>
                      <w:rFonts w:hint="eastAsia"/>
                      <w:lang w:eastAsia="zh-CN"/>
                    </w:rPr>
                    <w:t>定期</w:t>
                  </w:r>
                  <w:r>
                    <w:rPr>
                      <w:rFonts w:hint="eastAsia"/>
                    </w:rPr>
                    <w:t>排入青川县生活垃圾处理厂渗滤液处理厂。生产废水建</w:t>
                  </w:r>
                  <w:r>
                    <w:rPr>
                      <w:rFonts w:hint="eastAsia"/>
                      <w:lang w:eastAsia="zh-CN"/>
                    </w:rPr>
                    <w:t>设</w:t>
                  </w:r>
                  <w:r>
                    <w:rPr>
                      <w:rFonts w:hint="eastAsia"/>
                    </w:rPr>
                    <w:t>1座污水处理站（日处理能力18m</w:t>
                  </w:r>
                  <w:r>
                    <w:rPr>
                      <w:rFonts w:hint="eastAsia"/>
                      <w:vertAlign w:val="superscript"/>
                    </w:rPr>
                    <w:t>3</w:t>
                  </w:r>
                  <w:r>
                    <w:rPr>
                      <w:rFonts w:hint="eastAsia"/>
                    </w:rPr>
                    <w:t>），设计为地上一体化装置，采用“调节池+CSTR厌氧反应器”工艺处理达污水处理协议中废水接纳标准后，排入青川县生活垃圾处理厂渗滤液处理厂。</w:t>
                  </w:r>
                </w:p>
              </w:tc>
              <w:tc>
                <w:tcPr>
                  <w:tcW w:w="845" w:type="dxa"/>
                  <w:noWrap w:val="0"/>
                  <w:vAlign w:val="center"/>
                </w:tcPr>
                <w:p w14:paraId="23A2294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eastAsia="zh-CN"/>
                    </w:rPr>
                    <w:t>与环评一致</w:t>
                  </w:r>
                </w:p>
              </w:tc>
              <w:tc>
                <w:tcPr>
                  <w:tcW w:w="1767" w:type="dxa"/>
                  <w:noWrap w:val="0"/>
                  <w:vAlign w:val="center"/>
                </w:tcPr>
                <w:p w14:paraId="662FB9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501EFFD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72CD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88" w:type="dxa"/>
                  <w:vMerge w:val="continue"/>
                  <w:noWrap w:val="0"/>
                  <w:vAlign w:val="center"/>
                </w:tcPr>
                <w:p w14:paraId="1AFED6C0">
                  <w:pPr>
                    <w:pStyle w:val="65"/>
                    <w:keepNext w:val="0"/>
                    <w:keepLines w:val="0"/>
                    <w:adjustRightInd w:val="0"/>
                    <w:snapToGrid w:val="0"/>
                    <w:spacing w:line="240" w:lineRule="atLeast"/>
                    <w:jc w:val="center"/>
                    <w:rPr>
                      <w:rFonts w:hint="eastAsia"/>
                      <w:color w:val="auto"/>
                      <w:lang w:val="en-US" w:eastAsia="zh-CN"/>
                    </w:rPr>
                  </w:pPr>
                </w:p>
              </w:tc>
              <w:tc>
                <w:tcPr>
                  <w:tcW w:w="928" w:type="dxa"/>
                  <w:noWrap w:val="0"/>
                  <w:vAlign w:val="center"/>
                </w:tcPr>
                <w:p w14:paraId="7DD38D8A">
                  <w:pPr>
                    <w:spacing w:line="360" w:lineRule="auto"/>
                    <w:jc w:val="center"/>
                    <w:rPr>
                      <w:rFonts w:hint="eastAsia"/>
                      <w:color w:val="auto"/>
                    </w:rPr>
                  </w:pPr>
                  <w:r>
                    <w:rPr>
                      <w:rFonts w:hint="eastAsia" w:ascii="宋体" w:hAnsi="宋体" w:eastAsia="宋体" w:cs="宋体"/>
                      <w:bCs/>
                      <w:color w:val="auto"/>
                      <w:kern w:val="2"/>
                      <w:sz w:val="21"/>
                      <w:szCs w:val="21"/>
                      <w:lang w:val="en-US" w:eastAsia="zh-CN" w:bidi="ar-SA"/>
                    </w:rPr>
                    <w:t>噪声</w:t>
                  </w:r>
                </w:p>
              </w:tc>
              <w:tc>
                <w:tcPr>
                  <w:tcW w:w="2692" w:type="dxa"/>
                  <w:noWrap w:val="0"/>
                  <w:vAlign w:val="center"/>
                </w:tcPr>
                <w:p w14:paraId="0CD620F7">
                  <w:pPr>
                    <w:spacing w:line="360" w:lineRule="auto"/>
                    <w:jc w:val="center"/>
                    <w:rPr>
                      <w:rFonts w:hint="eastAsia"/>
                      <w:color w:val="auto"/>
                    </w:rPr>
                  </w:pPr>
                  <w:r>
                    <w:rPr>
                      <w:rFonts w:hint="eastAsia" w:ascii="宋体" w:hAnsi="宋体" w:eastAsia="宋体" w:cs="宋体"/>
                      <w:bCs/>
                      <w:color w:val="auto"/>
                      <w:sz w:val="21"/>
                      <w:szCs w:val="21"/>
                      <w:lang w:val="en-US" w:eastAsia="zh-CN"/>
                    </w:rPr>
                    <w:t>采用隔声及合理设置厂区绿化带等措施</w:t>
                  </w:r>
                </w:p>
              </w:tc>
              <w:tc>
                <w:tcPr>
                  <w:tcW w:w="2640" w:type="dxa"/>
                  <w:noWrap w:val="0"/>
                  <w:vAlign w:val="center"/>
                </w:tcPr>
                <w:p w14:paraId="47C04C73">
                  <w:pPr>
                    <w:spacing w:line="360" w:lineRule="auto"/>
                    <w:jc w:val="center"/>
                    <w:rPr>
                      <w:rFonts w:hint="eastAsia"/>
                      <w:color w:val="auto"/>
                      <w:lang w:val="en-US" w:eastAsia="zh-CN"/>
                    </w:rPr>
                  </w:pPr>
                  <w:r>
                    <w:rPr>
                      <w:rFonts w:hint="eastAsia" w:ascii="宋体" w:hAnsi="宋体" w:eastAsia="宋体" w:cs="宋体"/>
                      <w:bCs/>
                      <w:color w:val="auto"/>
                      <w:sz w:val="21"/>
                      <w:szCs w:val="21"/>
                      <w:lang w:val="en-US" w:eastAsia="zh-CN"/>
                    </w:rPr>
                    <w:t>采用隔声及合理设置厂区绿化带等措施</w:t>
                  </w:r>
                </w:p>
              </w:tc>
              <w:tc>
                <w:tcPr>
                  <w:tcW w:w="845" w:type="dxa"/>
                  <w:noWrap w:val="0"/>
                  <w:vAlign w:val="center"/>
                </w:tcPr>
                <w:p w14:paraId="0194E1B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eastAsia="zh-CN"/>
                    </w:rPr>
                    <w:t>与环评一致</w:t>
                  </w:r>
                </w:p>
              </w:tc>
              <w:tc>
                <w:tcPr>
                  <w:tcW w:w="1767" w:type="dxa"/>
                  <w:noWrap w:val="0"/>
                  <w:vAlign w:val="center"/>
                </w:tcPr>
                <w:p w14:paraId="7D534EC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c>
                <w:tcPr>
                  <w:tcW w:w="861" w:type="dxa"/>
                  <w:noWrap w:val="0"/>
                  <w:vAlign w:val="center"/>
                </w:tcPr>
                <w:p w14:paraId="0872165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2369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vMerge w:val="continue"/>
                  <w:noWrap w:val="0"/>
                  <w:vAlign w:val="center"/>
                </w:tcPr>
                <w:p w14:paraId="61673323">
                  <w:pPr>
                    <w:pStyle w:val="65"/>
                    <w:keepNext w:val="0"/>
                    <w:keepLines w:val="0"/>
                    <w:adjustRightInd w:val="0"/>
                    <w:snapToGrid w:val="0"/>
                    <w:spacing w:line="240" w:lineRule="atLeast"/>
                    <w:jc w:val="center"/>
                    <w:rPr>
                      <w:rFonts w:hint="eastAsia"/>
                      <w:color w:val="auto"/>
                      <w:lang w:val="en-US" w:eastAsia="zh-CN"/>
                    </w:rPr>
                  </w:pPr>
                </w:p>
              </w:tc>
              <w:tc>
                <w:tcPr>
                  <w:tcW w:w="928" w:type="dxa"/>
                  <w:noWrap w:val="0"/>
                  <w:vAlign w:val="center"/>
                </w:tcPr>
                <w:p w14:paraId="3F004554">
                  <w:pPr>
                    <w:spacing w:line="360" w:lineRule="auto"/>
                    <w:jc w:val="center"/>
                    <w:rPr>
                      <w:rFonts w:hint="eastAsia"/>
                      <w:color w:val="auto"/>
                    </w:rPr>
                  </w:pPr>
                  <w:r>
                    <w:rPr>
                      <w:rFonts w:hint="eastAsia" w:ascii="宋体" w:hAnsi="宋体" w:eastAsia="宋体" w:cs="宋体"/>
                      <w:bCs/>
                      <w:color w:val="auto"/>
                      <w:kern w:val="2"/>
                      <w:sz w:val="21"/>
                      <w:szCs w:val="21"/>
                      <w:lang w:val="en-US" w:eastAsia="zh-CN" w:bidi="ar-SA"/>
                    </w:rPr>
                    <w:t>固废</w:t>
                  </w:r>
                </w:p>
              </w:tc>
              <w:tc>
                <w:tcPr>
                  <w:tcW w:w="2692" w:type="dxa"/>
                  <w:noWrap w:val="0"/>
                  <w:vAlign w:val="center"/>
                </w:tcPr>
                <w:p w14:paraId="19666495">
                  <w:pPr>
                    <w:adjustRightInd w:val="0"/>
                    <w:snapToGrid w:val="0"/>
                    <w:spacing w:line="276" w:lineRule="auto"/>
                    <w:ind w:firstLine="420" w:firstLineChars="200"/>
                    <w:jc w:val="left"/>
                    <w:rPr>
                      <w:szCs w:val="21"/>
                    </w:rPr>
                  </w:pPr>
                  <w:r>
                    <w:rPr>
                      <w:rFonts w:hint="eastAsia"/>
                      <w:szCs w:val="21"/>
                    </w:rPr>
                    <w:t>一般工业固体废弃物：废石和废渣等杂质、沼渣、污水处理站污泥经厂内分类袋装收集后交由青川县垃圾填埋场处置统一清运并妥善处置；生活垃圾经分类袋装收集后交由当地环卫人员清运并进行妥善处置；废脱硫剂经袋装收集后由厂家定期更换回收处理。</w:t>
                  </w:r>
                </w:p>
                <w:p w14:paraId="1D852AFF">
                  <w:pPr>
                    <w:spacing w:line="360" w:lineRule="auto"/>
                    <w:jc w:val="center"/>
                    <w:rPr>
                      <w:rFonts w:hint="eastAsia"/>
                      <w:color w:val="auto"/>
                    </w:rPr>
                  </w:pPr>
                  <w:r>
                    <w:rPr>
                      <w:rFonts w:hint="eastAsia"/>
                      <w:szCs w:val="21"/>
                    </w:rPr>
                    <w:t>危废固体废弃物：废机油、废油桶、含油废抹布等危险废物经分类收集后，暂存于危险废物暂存间（做好防风、防雨、防晒、防渗措施），最终交由具有危废处置的资质单位进行清运及处置。</w:t>
                  </w:r>
                </w:p>
              </w:tc>
              <w:tc>
                <w:tcPr>
                  <w:tcW w:w="2640" w:type="dxa"/>
                  <w:noWrap w:val="0"/>
                  <w:vAlign w:val="center"/>
                </w:tcPr>
                <w:p w14:paraId="54D2BBE4">
                  <w:pPr>
                    <w:adjustRightInd w:val="0"/>
                    <w:snapToGrid w:val="0"/>
                    <w:spacing w:line="276" w:lineRule="auto"/>
                    <w:ind w:firstLine="420" w:firstLineChars="200"/>
                    <w:jc w:val="left"/>
                    <w:rPr>
                      <w:rFonts w:hint="eastAsia"/>
                      <w:color w:val="auto"/>
                      <w:lang w:val="en-US" w:eastAsia="zh-CN"/>
                    </w:rPr>
                  </w:pPr>
                  <w:r>
                    <w:rPr>
                      <w:rFonts w:hint="eastAsia"/>
                      <w:szCs w:val="21"/>
                    </w:rPr>
                    <w:t>一般工业固体废弃物：废石和废渣等杂质、沼渣、污水处理站污泥经厂内分类收集后交由青川县垃圾填埋场处置统一清运并妥善处置；生活垃圾经分类收集后交由当地环卫人员清运并进行妥善处置；废脱硫剂经袋装收集后由厂家定期更换回收处理。</w:t>
                  </w:r>
                </w:p>
              </w:tc>
              <w:tc>
                <w:tcPr>
                  <w:tcW w:w="845" w:type="dxa"/>
                  <w:noWrap w:val="0"/>
                  <w:vAlign w:val="center"/>
                </w:tcPr>
                <w:p w14:paraId="051973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eastAsia="zh-CN"/>
                    </w:rPr>
                    <w:t>未建设危废暂存间</w:t>
                  </w:r>
                </w:p>
              </w:tc>
              <w:tc>
                <w:tcPr>
                  <w:tcW w:w="1767" w:type="dxa"/>
                  <w:noWrap w:val="0"/>
                  <w:vAlign w:val="center"/>
                </w:tcPr>
                <w:p w14:paraId="5F4CF4E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s="Times New Roman"/>
                      <w:lang w:eastAsia="zh-CN"/>
                    </w:rPr>
                    <w:t>厂区危废产生量少，与青川县金扳手汽车维修有限公司签有机修协议，未设</w:t>
                  </w:r>
                  <w:r>
                    <w:rPr>
                      <w:rFonts w:hint="eastAsia"/>
                      <w:color w:val="auto"/>
                      <w:lang w:eastAsia="zh-CN"/>
                    </w:rPr>
                    <w:t>危废暂存间</w:t>
                  </w:r>
                </w:p>
              </w:tc>
              <w:tc>
                <w:tcPr>
                  <w:tcW w:w="861" w:type="dxa"/>
                  <w:noWrap w:val="0"/>
                  <w:vAlign w:val="center"/>
                </w:tcPr>
                <w:p w14:paraId="4E8C95D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eastAsia="zh-CN"/>
                    </w:rPr>
                    <w:t>否</w:t>
                  </w:r>
                </w:p>
              </w:tc>
            </w:tr>
            <w:tr w14:paraId="3CE4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vMerge w:val="continue"/>
                  <w:noWrap w:val="0"/>
                  <w:vAlign w:val="center"/>
                </w:tcPr>
                <w:p w14:paraId="2F4C266A">
                  <w:pPr>
                    <w:pStyle w:val="65"/>
                    <w:keepNext w:val="0"/>
                    <w:keepLines w:val="0"/>
                    <w:adjustRightInd w:val="0"/>
                    <w:snapToGrid w:val="0"/>
                    <w:spacing w:line="240" w:lineRule="atLeast"/>
                    <w:jc w:val="center"/>
                    <w:rPr>
                      <w:rFonts w:hint="eastAsia"/>
                      <w:color w:val="auto"/>
                      <w:lang w:val="en-US" w:eastAsia="zh-CN"/>
                    </w:rPr>
                  </w:pPr>
                </w:p>
              </w:tc>
              <w:tc>
                <w:tcPr>
                  <w:tcW w:w="928" w:type="dxa"/>
                  <w:shd w:val="clear" w:color="auto" w:fill="auto"/>
                  <w:noWrap w:val="0"/>
                  <w:vAlign w:val="center"/>
                </w:tcPr>
                <w:p w14:paraId="4755B8A6">
                  <w:pPr>
                    <w:pStyle w:val="92"/>
                    <w:spacing w:line="276" w:lineRule="auto"/>
                    <w:rPr>
                      <w:rFonts w:hint="eastAsia" w:ascii="Times New Roman" w:hAnsi="Times New Roman" w:eastAsia="宋体" w:cs="宋体"/>
                      <w:color w:val="auto"/>
                      <w:kern w:val="2"/>
                      <w:sz w:val="21"/>
                      <w:szCs w:val="21"/>
                      <w:lang w:val="en-US" w:eastAsia="zh-CN" w:bidi="ar-SA"/>
                    </w:rPr>
                  </w:pPr>
                  <w:r>
                    <w:rPr>
                      <w:rFonts w:cs="Times New Roman"/>
                    </w:rPr>
                    <w:t>地下水及土壤防治</w:t>
                  </w:r>
                </w:p>
              </w:tc>
              <w:tc>
                <w:tcPr>
                  <w:tcW w:w="2692" w:type="dxa"/>
                  <w:shd w:val="clear" w:color="auto" w:fill="auto"/>
                  <w:noWrap w:val="0"/>
                  <w:vAlign w:val="center"/>
                </w:tcPr>
                <w:p w14:paraId="755E760B">
                  <w:pPr>
                    <w:adjustRightInd w:val="0"/>
                    <w:snapToGrid w:val="0"/>
                    <w:spacing w:line="276" w:lineRule="auto"/>
                    <w:rPr>
                      <w:b/>
                      <w:bCs/>
                    </w:rPr>
                  </w:pPr>
                  <w:r>
                    <w:rPr>
                      <w:rFonts w:hint="eastAsia"/>
                      <w:b/>
                      <w:bCs/>
                    </w:rPr>
                    <w:t>重点防渗区：</w:t>
                  </w:r>
                  <w:r>
                    <w:rPr>
                      <w:rFonts w:hint="eastAsia"/>
                      <w:bCs/>
                    </w:rPr>
                    <w:t>餐厨垃圾处理车间、厌氧发酵区、油脂储罐区、污水处理区、危废暂存间等采用“20cm防渗混凝土+2mm厚HDPE膜+金属托盘”防渗，防渗技术要求：等效黏土防渗层Mb≥6.0m，K≤1.0×10</w:t>
                  </w:r>
                  <w:r>
                    <w:rPr>
                      <w:rFonts w:hint="eastAsia"/>
                      <w:bCs/>
                      <w:vertAlign w:val="superscript"/>
                    </w:rPr>
                    <w:t>-10</w:t>
                  </w:r>
                  <w:r>
                    <w:rPr>
                      <w:rFonts w:hint="eastAsia"/>
                      <w:bCs/>
                    </w:rPr>
                    <w:t>cm/s。</w:t>
                  </w:r>
                </w:p>
                <w:p w14:paraId="6470EB9A">
                  <w:pPr>
                    <w:adjustRightInd w:val="0"/>
                    <w:snapToGrid w:val="0"/>
                    <w:spacing w:line="276" w:lineRule="auto"/>
                    <w:rPr>
                      <w:b/>
                      <w:bCs/>
                    </w:rPr>
                  </w:pPr>
                  <w:r>
                    <w:rPr>
                      <w:rFonts w:hint="eastAsia"/>
                      <w:b/>
                      <w:bCs/>
                    </w:rPr>
                    <w:t>一般防渗区：</w:t>
                  </w:r>
                  <w:r>
                    <w:rPr>
                      <w:rFonts w:hint="eastAsia"/>
                      <w:bCs/>
                    </w:rPr>
                    <w:t>热水炉房、一般固废暂存区、沼气净化区域、厂区道路等采用“20cm防渗混凝土”防渗，防渗技术要求：等效黏土防渗层Mb≥1.5m，K≤1.0×10</w:t>
                  </w:r>
                  <w:r>
                    <w:rPr>
                      <w:rFonts w:hint="eastAsia"/>
                      <w:bCs/>
                      <w:vertAlign w:val="superscript"/>
                    </w:rPr>
                    <w:t>-7</w:t>
                  </w:r>
                  <w:r>
                    <w:rPr>
                      <w:rFonts w:hint="eastAsia"/>
                      <w:bCs/>
                    </w:rPr>
                    <w:t>cm/s。</w:t>
                  </w:r>
                </w:p>
                <w:p w14:paraId="79CD4E6D">
                  <w:pPr>
                    <w:adjustRightInd w:val="0"/>
                    <w:snapToGrid w:val="0"/>
                    <w:spacing w:line="276" w:lineRule="auto"/>
                    <w:rPr>
                      <w:rFonts w:hint="eastAsia" w:ascii="Times New Roman" w:hAnsi="Times New Roman" w:eastAsia="宋体" w:cs="Times New Roman"/>
                      <w:color w:val="auto"/>
                      <w:kern w:val="2"/>
                      <w:sz w:val="21"/>
                      <w:szCs w:val="21"/>
                      <w:lang w:val="en-US" w:eastAsia="zh-CN" w:bidi="ar-SA"/>
                    </w:rPr>
                  </w:pPr>
                  <w:r>
                    <w:rPr>
                      <w:rFonts w:hint="eastAsia"/>
                      <w:b/>
                      <w:bCs/>
                    </w:rPr>
                    <w:t>简单防渗区：</w:t>
                  </w:r>
                  <w:r>
                    <w:rPr>
                      <w:rFonts w:hint="eastAsia"/>
                      <w:bCs/>
                    </w:rPr>
                    <w:t>厂区其他区域（除绿化部分）采用一般混凝土硬化处理。</w:t>
                  </w:r>
                </w:p>
              </w:tc>
              <w:tc>
                <w:tcPr>
                  <w:tcW w:w="2640" w:type="dxa"/>
                  <w:noWrap w:val="0"/>
                  <w:vAlign w:val="center"/>
                </w:tcPr>
                <w:p w14:paraId="1492F745">
                  <w:pPr>
                    <w:adjustRightInd w:val="0"/>
                    <w:snapToGrid w:val="0"/>
                    <w:spacing w:line="276" w:lineRule="auto"/>
                    <w:rPr>
                      <w:b/>
                      <w:bCs/>
                    </w:rPr>
                  </w:pPr>
                  <w:r>
                    <w:rPr>
                      <w:rFonts w:hint="eastAsia"/>
                      <w:b/>
                      <w:bCs/>
                    </w:rPr>
                    <w:t>重点防渗区：</w:t>
                  </w:r>
                  <w:r>
                    <w:rPr>
                      <w:rFonts w:hint="eastAsia"/>
                      <w:bCs/>
                    </w:rPr>
                    <w:t>餐厨垃圾处理车间、厌氧发酵区、油脂储罐区、污水处理区、危废暂存间等采用“20cm防渗混凝土+2mm厚HDPE膜+金属托盘”防渗，防渗技术要求：等效黏土防渗层Mb≥6.0m，K≤1.0×10</w:t>
                  </w:r>
                  <w:r>
                    <w:rPr>
                      <w:rFonts w:hint="eastAsia"/>
                      <w:bCs/>
                      <w:vertAlign w:val="superscript"/>
                    </w:rPr>
                    <w:t>-10</w:t>
                  </w:r>
                  <w:r>
                    <w:rPr>
                      <w:rFonts w:hint="eastAsia"/>
                      <w:bCs/>
                    </w:rPr>
                    <w:t>cm/s。</w:t>
                  </w:r>
                </w:p>
                <w:p w14:paraId="790DF2EC">
                  <w:pPr>
                    <w:adjustRightInd w:val="0"/>
                    <w:snapToGrid w:val="0"/>
                    <w:spacing w:line="276" w:lineRule="auto"/>
                    <w:rPr>
                      <w:b/>
                      <w:bCs/>
                    </w:rPr>
                  </w:pPr>
                  <w:r>
                    <w:rPr>
                      <w:rFonts w:hint="eastAsia"/>
                      <w:b/>
                      <w:bCs/>
                    </w:rPr>
                    <w:t>一般防渗区：</w:t>
                  </w:r>
                  <w:r>
                    <w:rPr>
                      <w:rFonts w:hint="eastAsia"/>
                      <w:bCs/>
                    </w:rPr>
                    <w:t>热水炉房、一般固废暂存区、沼气净化区域、厂区道路等采用“20cm防渗混凝土”防渗，防渗技术要求：等效黏土防渗层Mb≥1.5m，K≤1.0×10</w:t>
                  </w:r>
                  <w:r>
                    <w:rPr>
                      <w:rFonts w:hint="eastAsia"/>
                      <w:bCs/>
                      <w:vertAlign w:val="superscript"/>
                    </w:rPr>
                    <w:t>-7</w:t>
                  </w:r>
                  <w:r>
                    <w:rPr>
                      <w:rFonts w:hint="eastAsia"/>
                      <w:bCs/>
                    </w:rPr>
                    <w:t>cm/s。</w:t>
                  </w:r>
                </w:p>
                <w:p w14:paraId="6988D084">
                  <w:pPr>
                    <w:adjustRightInd w:val="0"/>
                    <w:snapToGrid w:val="0"/>
                    <w:spacing w:line="276" w:lineRule="auto"/>
                    <w:jc w:val="left"/>
                    <w:rPr>
                      <w:rFonts w:hint="eastAsia"/>
                      <w:szCs w:val="21"/>
                    </w:rPr>
                  </w:pPr>
                  <w:r>
                    <w:rPr>
                      <w:rFonts w:hint="eastAsia"/>
                      <w:b/>
                      <w:bCs/>
                    </w:rPr>
                    <w:t>简单防渗区：</w:t>
                  </w:r>
                  <w:r>
                    <w:rPr>
                      <w:rFonts w:hint="eastAsia"/>
                      <w:bCs/>
                    </w:rPr>
                    <w:t>厂区其他区域（除绿化部分）采用一般混凝土硬化处理。</w:t>
                  </w:r>
                </w:p>
              </w:tc>
              <w:tc>
                <w:tcPr>
                  <w:tcW w:w="845" w:type="dxa"/>
                  <w:noWrap w:val="0"/>
                  <w:vAlign w:val="center"/>
                </w:tcPr>
                <w:p w14:paraId="702AC51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eastAsia="zh-CN"/>
                    </w:rPr>
                    <w:t>与环评一致</w:t>
                  </w:r>
                </w:p>
              </w:tc>
              <w:tc>
                <w:tcPr>
                  <w:tcW w:w="1767" w:type="dxa"/>
                  <w:noWrap w:val="0"/>
                  <w:vAlign w:val="center"/>
                </w:tcPr>
                <w:p w14:paraId="34FA36E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s="Times New Roman"/>
                      <w:lang w:eastAsia="zh-CN"/>
                    </w:rPr>
                  </w:pPr>
                  <w:r>
                    <w:rPr>
                      <w:rFonts w:hint="eastAsia"/>
                      <w:color w:val="auto"/>
                      <w:lang w:val="en-US" w:eastAsia="zh-CN"/>
                    </w:rPr>
                    <w:t>/</w:t>
                  </w:r>
                </w:p>
              </w:tc>
              <w:tc>
                <w:tcPr>
                  <w:tcW w:w="861" w:type="dxa"/>
                  <w:noWrap w:val="0"/>
                  <w:vAlign w:val="center"/>
                </w:tcPr>
                <w:p w14:paraId="44E0023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color w:val="auto"/>
                      <w:lang w:val="en-US" w:eastAsia="zh-CN"/>
                    </w:rPr>
                    <w:t>/</w:t>
                  </w:r>
                </w:p>
              </w:tc>
            </w:tr>
            <w:tr w14:paraId="7428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8" w:type="dxa"/>
                  <w:shd w:val="clear" w:color="auto" w:fill="auto"/>
                  <w:noWrap w:val="0"/>
                  <w:vAlign w:val="center"/>
                </w:tcPr>
                <w:p w14:paraId="40BAF7A8">
                  <w:pPr>
                    <w:pStyle w:val="92"/>
                    <w:spacing w:line="276" w:lineRule="auto"/>
                    <w:rPr>
                      <w:rFonts w:hint="eastAsia" w:ascii="Times New Roman" w:hAnsi="Times New Roman" w:eastAsia="宋体" w:cs="Times New Roman"/>
                      <w:kern w:val="2"/>
                      <w:sz w:val="21"/>
                      <w:szCs w:val="21"/>
                      <w:lang w:val="en-US" w:eastAsia="zh-CN" w:bidi="ar-SA"/>
                    </w:rPr>
                  </w:pPr>
                  <w:r>
                    <w:rPr>
                      <w:rFonts w:cs="Times New Roman"/>
                    </w:rPr>
                    <w:t>办公及生活设施</w:t>
                  </w:r>
                </w:p>
              </w:tc>
              <w:tc>
                <w:tcPr>
                  <w:tcW w:w="928" w:type="dxa"/>
                  <w:shd w:val="clear" w:color="auto" w:fill="auto"/>
                  <w:noWrap w:val="0"/>
                  <w:vAlign w:val="center"/>
                </w:tcPr>
                <w:p w14:paraId="5B08B4C8">
                  <w:pPr>
                    <w:pStyle w:val="92"/>
                    <w:spacing w:line="276" w:lineRule="auto"/>
                    <w:rPr>
                      <w:rFonts w:ascii="Times New Roman" w:hAnsi="Times New Roman" w:eastAsia="宋体" w:cs="Times New Roman"/>
                      <w:kern w:val="2"/>
                      <w:sz w:val="21"/>
                      <w:szCs w:val="21"/>
                      <w:lang w:val="en-US" w:eastAsia="zh-CN" w:bidi="ar-SA"/>
                    </w:rPr>
                  </w:pPr>
                  <w:r>
                    <w:rPr>
                      <w:rFonts w:hint="eastAsia" w:cs="Times New Roman"/>
                    </w:rPr>
                    <w:t>办公楼</w:t>
                  </w:r>
                </w:p>
              </w:tc>
              <w:tc>
                <w:tcPr>
                  <w:tcW w:w="2692" w:type="dxa"/>
                  <w:shd w:val="clear" w:color="auto" w:fill="auto"/>
                  <w:noWrap w:val="0"/>
                  <w:vAlign w:val="center"/>
                </w:tcPr>
                <w:p w14:paraId="2B1448DC">
                  <w:pPr>
                    <w:pStyle w:val="92"/>
                    <w:spacing w:line="276" w:lineRule="auto"/>
                    <w:jc w:val="both"/>
                    <w:rPr>
                      <w:rFonts w:hint="eastAsia" w:ascii="Times New Roman" w:hAnsi="Times New Roman" w:eastAsia="宋体" w:cs="Times New Roman"/>
                      <w:kern w:val="0"/>
                      <w:sz w:val="21"/>
                      <w:szCs w:val="20"/>
                      <w:lang w:val="en-US" w:eastAsia="zh-CN" w:bidi="ar-SA"/>
                    </w:rPr>
                  </w:pPr>
                  <w:r>
                    <w:rPr>
                      <w:rFonts w:cs="Times New Roman"/>
                    </w:rPr>
                    <w:t>拟建</w:t>
                  </w:r>
                  <w:r>
                    <w:rPr>
                      <w:rFonts w:hint="eastAsia" w:cs="Times New Roman"/>
                    </w:rPr>
                    <w:t>办公楼</w:t>
                  </w:r>
                  <w:r>
                    <w:rPr>
                      <w:rFonts w:cs="Times New Roman"/>
                    </w:rPr>
                    <w:t>位于厂区最南侧，</w:t>
                  </w:r>
                  <w:r>
                    <w:rPr>
                      <w:rFonts w:hint="eastAsia" w:cs="Times New Roman"/>
                    </w:rPr>
                    <w:t>坐南朝北</w:t>
                  </w:r>
                  <w:r>
                    <w:rPr>
                      <w:rFonts w:cs="Times New Roman"/>
                    </w:rPr>
                    <w:t>布置，设计占地面积</w:t>
                  </w:r>
                  <w:r>
                    <w:rPr>
                      <w:rFonts w:hint="eastAsia" w:hAnsi="宋体"/>
                    </w:rPr>
                    <w:t>为237.62m</w:t>
                  </w:r>
                  <w:r>
                    <w:rPr>
                      <w:rFonts w:hint="eastAsia" w:hAnsi="宋体"/>
                      <w:vertAlign w:val="superscript"/>
                    </w:rPr>
                    <w:t>2</w:t>
                  </w:r>
                  <w:r>
                    <w:rPr>
                      <w:rFonts w:hint="eastAsia" w:hAnsi="宋体"/>
                    </w:rPr>
                    <w:t>，建筑面积700.35m</w:t>
                  </w:r>
                  <w:r>
                    <w:rPr>
                      <w:rFonts w:hint="eastAsia" w:hAnsi="宋体"/>
                      <w:vertAlign w:val="superscript"/>
                    </w:rPr>
                    <w:t>2</w:t>
                  </w:r>
                  <w:r>
                    <w:rPr>
                      <w:rFonts w:hint="eastAsia" w:hAnsi="宋体"/>
                    </w:rPr>
                    <w:t>，以钢框架结构为主体结构，建筑高度10.5m，建筑层数3层。根据建设单位需要，办公楼主要包含办公室和会议室，不设置宿舍。</w:t>
                  </w:r>
                </w:p>
              </w:tc>
              <w:tc>
                <w:tcPr>
                  <w:tcW w:w="2640" w:type="dxa"/>
                  <w:noWrap w:val="0"/>
                  <w:vAlign w:val="center"/>
                </w:tcPr>
                <w:p w14:paraId="4BE3C5FE">
                  <w:pPr>
                    <w:adjustRightInd w:val="0"/>
                    <w:snapToGrid w:val="0"/>
                    <w:spacing w:line="276" w:lineRule="auto"/>
                    <w:jc w:val="left"/>
                    <w:rPr>
                      <w:rFonts w:hint="eastAsia" w:eastAsia="宋体"/>
                      <w:b/>
                      <w:bCs/>
                      <w:lang w:eastAsia="zh-CN"/>
                    </w:rPr>
                  </w:pPr>
                  <w:r>
                    <w:rPr>
                      <w:rFonts w:hint="eastAsia" w:ascii="Times New Roman" w:hAnsi="宋体" w:eastAsia="宋体" w:cs="宋体"/>
                      <w:kern w:val="2"/>
                      <w:sz w:val="21"/>
                      <w:szCs w:val="21"/>
                      <w:lang w:val="en-US" w:eastAsia="zh-CN" w:bidi="ar-SA"/>
                    </w:rPr>
                    <w:t>未建设办公楼</w:t>
                  </w:r>
                </w:p>
              </w:tc>
              <w:tc>
                <w:tcPr>
                  <w:tcW w:w="845" w:type="dxa"/>
                  <w:noWrap w:val="0"/>
                  <w:vAlign w:val="center"/>
                </w:tcPr>
                <w:p w14:paraId="7F37A99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eastAsia="zh-CN"/>
                    </w:rPr>
                  </w:pPr>
                  <w:r>
                    <w:rPr>
                      <w:rFonts w:hint="eastAsia" w:ascii="Times New Roman" w:hAnsi="宋体" w:eastAsia="宋体" w:cs="宋体"/>
                      <w:kern w:val="2"/>
                      <w:sz w:val="21"/>
                      <w:szCs w:val="21"/>
                      <w:lang w:val="en-US" w:eastAsia="zh-CN" w:bidi="ar-SA"/>
                    </w:rPr>
                    <w:t>未建设办公楼</w:t>
                  </w:r>
                </w:p>
              </w:tc>
              <w:tc>
                <w:tcPr>
                  <w:tcW w:w="1767" w:type="dxa"/>
                  <w:noWrap w:val="0"/>
                  <w:vAlign w:val="center"/>
                </w:tcPr>
                <w:p w14:paraId="6681C22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根据业主需求，未建设办公楼</w:t>
                  </w:r>
                </w:p>
              </w:tc>
              <w:tc>
                <w:tcPr>
                  <w:tcW w:w="861" w:type="dxa"/>
                  <w:noWrap w:val="0"/>
                  <w:vAlign w:val="center"/>
                </w:tcPr>
                <w:p w14:paraId="201C9F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否</w:t>
                  </w:r>
                </w:p>
              </w:tc>
            </w:tr>
          </w:tbl>
          <w:p w14:paraId="1B7279CF">
            <w:pPr>
              <w:rPr>
                <w:rFonts w:hint="default"/>
                <w:color w:val="auto"/>
              </w:rPr>
            </w:pPr>
          </w:p>
          <w:p w14:paraId="77E42CD8">
            <w:pPr>
              <w:spacing w:line="240" w:lineRule="auto"/>
              <w:jc w:val="center"/>
              <w:rPr>
                <w:rFonts w:hint="default"/>
                <w:b/>
                <w:bCs/>
                <w:color w:val="auto"/>
                <w:sz w:val="24"/>
                <w:szCs w:val="24"/>
              </w:rPr>
            </w:pPr>
            <w:r>
              <w:rPr>
                <w:rFonts w:hint="default"/>
                <w:b/>
                <w:bCs/>
                <w:color w:val="auto"/>
                <w:sz w:val="24"/>
                <w:szCs w:val="24"/>
              </w:rPr>
              <w:t>表2-2  项目主要设备一览表</w:t>
            </w:r>
          </w:p>
          <w:tbl>
            <w:tblPr>
              <w:tblStyle w:val="33"/>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7"/>
              <w:gridCol w:w="2410"/>
              <w:gridCol w:w="2253"/>
              <w:gridCol w:w="2287"/>
              <w:gridCol w:w="2043"/>
            </w:tblGrid>
            <w:tr w14:paraId="27974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jc w:val="center"/>
              </w:trPr>
              <w:tc>
                <w:tcPr>
                  <w:tcW w:w="847" w:type="dxa"/>
                  <w:tcBorders>
                    <w:top w:val="single" w:color="000000" w:sz="4" w:space="0"/>
                    <w:left w:val="single" w:color="000000" w:sz="4" w:space="0"/>
                    <w:bottom w:val="single" w:color="000000" w:sz="4" w:space="0"/>
                    <w:right w:val="single" w:color="000000" w:sz="4" w:space="0"/>
                  </w:tcBorders>
                  <w:noWrap/>
                  <w:vAlign w:val="center"/>
                </w:tcPr>
                <w:p w14:paraId="748CB4E1">
                  <w:pPr>
                    <w:keepNext w:val="0"/>
                    <w:keepLines w:val="0"/>
                    <w:widowControl/>
                    <w:suppressLineNumbers w:val="0"/>
                    <w:spacing w:line="360" w:lineRule="auto"/>
                    <w:jc w:val="center"/>
                    <w:textAlignment w:val="center"/>
                    <w:rPr>
                      <w:rFonts w:hint="eastAsia"/>
                      <w:lang w:val="en-US" w:eastAsia="zh-CN"/>
                    </w:rPr>
                  </w:pPr>
                  <w:r>
                    <w:rPr>
                      <w:rFonts w:hint="eastAsia"/>
                      <w:lang w:val="en-US" w:eastAsia="zh-CN"/>
                    </w:rPr>
                    <w:t>序号</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0FF93305">
                  <w:pPr>
                    <w:keepNext w:val="0"/>
                    <w:keepLines w:val="0"/>
                    <w:widowControl/>
                    <w:suppressLineNumbers w:val="0"/>
                    <w:spacing w:line="360" w:lineRule="auto"/>
                    <w:jc w:val="center"/>
                    <w:textAlignment w:val="center"/>
                    <w:rPr>
                      <w:rFonts w:hint="eastAsia"/>
                      <w:lang w:val="en-US" w:eastAsia="zh-CN"/>
                    </w:rPr>
                  </w:pPr>
                  <w:r>
                    <w:rPr>
                      <w:rFonts w:hint="eastAsia"/>
                      <w:lang w:val="en-US" w:eastAsia="zh-CN"/>
                    </w:rPr>
                    <w:t>设备名称</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DD88F6D">
                  <w:pPr>
                    <w:keepNext w:val="0"/>
                    <w:keepLines w:val="0"/>
                    <w:widowControl/>
                    <w:suppressLineNumbers w:val="0"/>
                    <w:spacing w:line="360" w:lineRule="auto"/>
                    <w:jc w:val="center"/>
                    <w:textAlignment w:val="center"/>
                    <w:rPr>
                      <w:rFonts w:hint="eastAsia"/>
                      <w:lang w:val="en-US" w:eastAsia="zh-CN"/>
                    </w:rPr>
                  </w:pPr>
                  <w:r>
                    <w:rPr>
                      <w:rFonts w:hint="eastAsia"/>
                      <w:lang w:val="en-US" w:eastAsia="zh-CN"/>
                    </w:rPr>
                    <w:t>规格</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5FBB47AB">
                  <w:pPr>
                    <w:keepNext w:val="0"/>
                    <w:keepLines w:val="0"/>
                    <w:widowControl/>
                    <w:suppressLineNumbers w:val="0"/>
                    <w:spacing w:line="360" w:lineRule="auto"/>
                    <w:jc w:val="center"/>
                    <w:textAlignment w:val="center"/>
                    <w:rPr>
                      <w:rFonts w:hint="eastAsia"/>
                      <w:color w:val="auto"/>
                      <w:lang w:val="en-US" w:eastAsia="zh-CN"/>
                    </w:rPr>
                  </w:pPr>
                  <w:r>
                    <w:rPr>
                      <w:rFonts w:hint="eastAsia"/>
                      <w:lang w:val="en-US" w:eastAsia="zh-CN"/>
                    </w:rPr>
                    <w:t>环评数量</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348420AD">
                  <w:pPr>
                    <w:keepNext w:val="0"/>
                    <w:keepLines w:val="0"/>
                    <w:widowControl/>
                    <w:suppressLineNumbers w:val="0"/>
                    <w:spacing w:line="360" w:lineRule="auto"/>
                    <w:jc w:val="center"/>
                    <w:textAlignment w:val="center"/>
                    <w:rPr>
                      <w:rFonts w:hint="eastAsia" w:eastAsia="宋体"/>
                      <w:lang w:val="en-US" w:eastAsia="zh-CN"/>
                    </w:rPr>
                  </w:pPr>
                  <w:r>
                    <w:rPr>
                      <w:rFonts w:hint="eastAsia"/>
                      <w:color w:val="auto"/>
                      <w:lang w:val="en-US" w:eastAsia="zh-CN"/>
                    </w:rPr>
                    <w:t>实际数量</w:t>
                  </w:r>
                </w:p>
              </w:tc>
            </w:tr>
            <w:tr w14:paraId="1D99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000000" w:sz="4" w:space="0"/>
                    <w:left w:val="single" w:color="000000" w:sz="4" w:space="0"/>
                    <w:bottom w:val="single" w:color="auto" w:sz="4" w:space="0"/>
                    <w:right w:val="single" w:color="000000" w:sz="4" w:space="0"/>
                  </w:tcBorders>
                  <w:noWrap/>
                  <w:vAlign w:val="center"/>
                </w:tcPr>
                <w:p w14:paraId="29BE0E77">
                  <w:pPr>
                    <w:spacing w:line="360" w:lineRule="auto"/>
                    <w:jc w:val="center"/>
                    <w:rPr>
                      <w:rFonts w:hint="eastAsia"/>
                    </w:rPr>
                  </w:pPr>
                  <w:r>
                    <w:rPr>
                      <w:rFonts w:hint="default" w:ascii="Times New Roman" w:hAnsi="Times New Roman" w:eastAsia="宋体" w:cs="Times New Roman"/>
                      <w:color w:val="auto"/>
                      <w:sz w:val="21"/>
                      <w:szCs w:val="21"/>
                      <w:lang w:val="en-US" w:eastAsia="zh-CN"/>
                    </w:rPr>
                    <w:t>1</w:t>
                  </w:r>
                </w:p>
              </w:tc>
              <w:tc>
                <w:tcPr>
                  <w:tcW w:w="2410" w:type="dxa"/>
                  <w:tcBorders>
                    <w:top w:val="single" w:color="000000" w:sz="4" w:space="0"/>
                    <w:left w:val="single" w:color="000000" w:sz="4" w:space="0"/>
                    <w:bottom w:val="single" w:color="auto" w:sz="4" w:space="0"/>
                    <w:right w:val="single" w:color="000000" w:sz="4" w:space="0"/>
                  </w:tcBorders>
                  <w:noWrap/>
                  <w:vAlign w:val="center"/>
                </w:tcPr>
                <w:p w14:paraId="5887F941">
                  <w:pPr>
                    <w:widowControl/>
                    <w:jc w:val="center"/>
                    <w:rPr>
                      <w:rFonts w:hint="eastAsia"/>
                    </w:rPr>
                  </w:pPr>
                  <w:r>
                    <w:rPr>
                      <w:rFonts w:hint="eastAsia" w:ascii="宋体" w:hAnsi="宋体" w:cs="宋体"/>
                      <w:kern w:val="0"/>
                      <w:szCs w:val="21"/>
                    </w:rPr>
                    <w:t>餐厨垃圾专用收运车辆</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1F7661BD">
                  <w:pPr>
                    <w:widowControl/>
                    <w:jc w:val="center"/>
                    <w:rPr>
                      <w:rFonts w:hint="eastAsia"/>
                    </w:rPr>
                  </w:pPr>
                  <w:r>
                    <w:rPr>
                      <w:kern w:val="0"/>
                      <w:szCs w:val="21"/>
                    </w:rPr>
                    <w:t>5</w:t>
                  </w:r>
                  <w:r>
                    <w:rPr>
                      <w:rFonts w:hint="eastAsia" w:ascii="宋体" w:hAnsi="宋体"/>
                      <w:kern w:val="0"/>
                      <w:szCs w:val="21"/>
                    </w:rPr>
                    <w:t>吨</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68A663D5">
                  <w:pPr>
                    <w:widowControl/>
                    <w:jc w:val="center"/>
                    <w:rPr>
                      <w:rFonts w:hint="eastAsia"/>
                      <w:color w:val="auto"/>
                      <w:lang w:val="en-US" w:eastAsia="zh-CN"/>
                    </w:rPr>
                  </w:pPr>
                  <w:r>
                    <w:rPr>
                      <w:color w:val="auto"/>
                      <w:kern w:val="0"/>
                      <w:szCs w:val="21"/>
                    </w:rPr>
                    <w:t>3</w:t>
                  </w:r>
                  <w:r>
                    <w:rPr>
                      <w:rFonts w:hint="eastAsia" w:ascii="宋体" w:hAnsi="宋体"/>
                      <w:color w:val="auto"/>
                      <w:kern w:val="0"/>
                      <w:szCs w:val="21"/>
                    </w:rPr>
                    <w:t>辆</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1EB695FC">
                  <w:pPr>
                    <w:widowControl/>
                    <w:jc w:val="center"/>
                    <w:rPr>
                      <w:rFonts w:hint="eastAsia"/>
                      <w:color w:val="auto"/>
                    </w:rPr>
                  </w:pPr>
                  <w:r>
                    <w:rPr>
                      <w:color w:val="auto"/>
                      <w:kern w:val="0"/>
                      <w:szCs w:val="21"/>
                    </w:rPr>
                    <w:t>3</w:t>
                  </w:r>
                  <w:r>
                    <w:rPr>
                      <w:rFonts w:hint="eastAsia" w:ascii="宋体" w:hAnsi="宋体"/>
                      <w:color w:val="auto"/>
                      <w:kern w:val="0"/>
                      <w:szCs w:val="21"/>
                    </w:rPr>
                    <w:t>辆</w:t>
                  </w:r>
                </w:p>
              </w:tc>
            </w:tr>
            <w:tr w14:paraId="2990C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0DE42838">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2</w:t>
                  </w:r>
                </w:p>
              </w:tc>
              <w:tc>
                <w:tcPr>
                  <w:tcW w:w="2410" w:type="dxa"/>
                  <w:tcBorders>
                    <w:top w:val="single" w:color="auto" w:sz="4" w:space="0"/>
                    <w:left w:val="single" w:color="000000" w:sz="4" w:space="0"/>
                    <w:bottom w:val="single" w:color="auto" w:sz="4" w:space="0"/>
                    <w:right w:val="single" w:color="000000" w:sz="4" w:space="0"/>
                  </w:tcBorders>
                  <w:noWrap/>
                  <w:vAlign w:val="top"/>
                </w:tcPr>
                <w:p w14:paraId="078D696B">
                  <w:pPr>
                    <w:widowControl/>
                    <w:jc w:val="center"/>
                    <w:rPr>
                      <w:rFonts w:hint="eastAsia"/>
                      <w:color w:val="auto"/>
                    </w:rPr>
                  </w:pPr>
                  <w:r>
                    <w:rPr>
                      <w:rFonts w:hint="eastAsia" w:ascii="宋体" w:hAnsi="宋体" w:cs="宋体"/>
                      <w:kern w:val="0"/>
                      <w:szCs w:val="21"/>
                    </w:rPr>
                    <w:t>餐厨垃圾收集桶</w:t>
                  </w:r>
                </w:p>
              </w:tc>
              <w:tc>
                <w:tcPr>
                  <w:tcW w:w="2253" w:type="dxa"/>
                  <w:tcBorders>
                    <w:top w:val="single" w:color="000000" w:sz="4" w:space="0"/>
                    <w:left w:val="single" w:color="000000" w:sz="4" w:space="0"/>
                    <w:bottom w:val="single" w:color="000000" w:sz="4" w:space="0"/>
                    <w:right w:val="single" w:color="000000" w:sz="4" w:space="0"/>
                  </w:tcBorders>
                  <w:noWrap/>
                  <w:vAlign w:val="top"/>
                </w:tcPr>
                <w:p w14:paraId="76936D77">
                  <w:pPr>
                    <w:widowControl/>
                    <w:jc w:val="center"/>
                    <w:rPr>
                      <w:rFonts w:hint="eastAsia"/>
                      <w:color w:val="auto"/>
                    </w:rPr>
                  </w:pPr>
                  <w:r>
                    <w:rPr>
                      <w:kern w:val="0"/>
                      <w:szCs w:val="21"/>
                    </w:rPr>
                    <w:t>120L</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001C0E1F">
                  <w:pPr>
                    <w:widowControl/>
                    <w:jc w:val="center"/>
                    <w:rPr>
                      <w:rFonts w:hint="eastAsia"/>
                      <w:color w:val="auto"/>
                      <w:lang w:val="en-US" w:eastAsia="zh-CN"/>
                    </w:rPr>
                  </w:pPr>
                  <w:r>
                    <w:rPr>
                      <w:color w:val="auto"/>
                      <w:kern w:val="0"/>
                      <w:szCs w:val="21"/>
                    </w:rPr>
                    <w:t>1</w:t>
                  </w:r>
                  <w:r>
                    <w:rPr>
                      <w:rFonts w:hint="eastAsia"/>
                      <w:color w:val="auto"/>
                      <w:kern w:val="0"/>
                      <w:szCs w:val="21"/>
                    </w:rPr>
                    <w:t>5</w:t>
                  </w:r>
                  <w:r>
                    <w:rPr>
                      <w:color w:val="auto"/>
                      <w:kern w:val="0"/>
                      <w:szCs w:val="21"/>
                    </w:rPr>
                    <w:t>00</w:t>
                  </w:r>
                  <w:r>
                    <w:rPr>
                      <w:rFonts w:hint="eastAsia" w:ascii="宋体" w:hAnsi="宋体"/>
                      <w:color w:val="auto"/>
                      <w:kern w:val="0"/>
                      <w:szCs w:val="21"/>
                    </w:rPr>
                    <w:t>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47A55113">
                  <w:pPr>
                    <w:widowControl/>
                    <w:jc w:val="center"/>
                    <w:rPr>
                      <w:rFonts w:hint="eastAsia"/>
                      <w:color w:val="auto"/>
                    </w:rPr>
                  </w:pPr>
                  <w:r>
                    <w:rPr>
                      <w:color w:val="auto"/>
                      <w:kern w:val="0"/>
                      <w:szCs w:val="21"/>
                    </w:rPr>
                    <w:t>1</w:t>
                  </w:r>
                  <w:r>
                    <w:rPr>
                      <w:rFonts w:hint="eastAsia"/>
                      <w:color w:val="auto"/>
                      <w:kern w:val="0"/>
                      <w:szCs w:val="21"/>
                    </w:rPr>
                    <w:t>5</w:t>
                  </w:r>
                  <w:r>
                    <w:rPr>
                      <w:color w:val="auto"/>
                      <w:kern w:val="0"/>
                      <w:szCs w:val="21"/>
                    </w:rPr>
                    <w:t>00</w:t>
                  </w:r>
                  <w:r>
                    <w:rPr>
                      <w:rFonts w:hint="eastAsia" w:ascii="宋体" w:hAnsi="宋体"/>
                      <w:color w:val="auto"/>
                      <w:kern w:val="0"/>
                      <w:szCs w:val="21"/>
                    </w:rPr>
                    <w:t>个</w:t>
                  </w:r>
                </w:p>
              </w:tc>
            </w:tr>
            <w:tr w14:paraId="1A02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765C4351">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3</w:t>
                  </w:r>
                </w:p>
              </w:tc>
              <w:tc>
                <w:tcPr>
                  <w:tcW w:w="2410" w:type="dxa"/>
                  <w:tcBorders>
                    <w:top w:val="single" w:color="auto" w:sz="4" w:space="0"/>
                    <w:left w:val="single" w:color="000000" w:sz="4" w:space="0"/>
                    <w:bottom w:val="single" w:color="auto" w:sz="4" w:space="0"/>
                    <w:right w:val="single" w:color="000000" w:sz="4" w:space="0"/>
                  </w:tcBorders>
                  <w:noWrap/>
                  <w:vAlign w:val="top"/>
                </w:tcPr>
                <w:p w14:paraId="497271CC">
                  <w:pPr>
                    <w:widowControl/>
                    <w:jc w:val="center"/>
                    <w:rPr>
                      <w:rFonts w:hint="eastAsia"/>
                      <w:color w:val="auto"/>
                    </w:rPr>
                  </w:pPr>
                  <w:r>
                    <w:rPr>
                      <w:rFonts w:hint="eastAsia" w:ascii="宋体" w:hAnsi="宋体" w:cs="宋体"/>
                      <w:kern w:val="0"/>
                      <w:szCs w:val="21"/>
                    </w:rPr>
                    <w:t>地沟油收集桶</w:t>
                  </w:r>
                </w:p>
              </w:tc>
              <w:tc>
                <w:tcPr>
                  <w:tcW w:w="2253" w:type="dxa"/>
                  <w:tcBorders>
                    <w:top w:val="single" w:color="000000" w:sz="4" w:space="0"/>
                    <w:left w:val="single" w:color="000000" w:sz="4" w:space="0"/>
                    <w:bottom w:val="single" w:color="000000" w:sz="4" w:space="0"/>
                    <w:right w:val="single" w:color="000000" w:sz="4" w:space="0"/>
                  </w:tcBorders>
                  <w:noWrap/>
                  <w:vAlign w:val="top"/>
                </w:tcPr>
                <w:p w14:paraId="10475F97">
                  <w:pPr>
                    <w:widowControl/>
                    <w:jc w:val="center"/>
                    <w:rPr>
                      <w:rFonts w:hint="eastAsia"/>
                      <w:color w:val="auto"/>
                    </w:rPr>
                  </w:pPr>
                  <w:r>
                    <w:rPr>
                      <w:kern w:val="0"/>
                      <w:szCs w:val="21"/>
                    </w:rPr>
                    <w:t>50L</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540F71CA">
                  <w:pPr>
                    <w:widowControl/>
                    <w:jc w:val="center"/>
                    <w:rPr>
                      <w:rFonts w:hint="eastAsia"/>
                      <w:color w:val="auto"/>
                      <w:lang w:val="en-US" w:eastAsia="zh-CN"/>
                    </w:rPr>
                  </w:pPr>
                  <w:r>
                    <w:rPr>
                      <w:color w:val="auto"/>
                      <w:kern w:val="0"/>
                      <w:szCs w:val="21"/>
                    </w:rPr>
                    <w:t>50</w:t>
                  </w:r>
                  <w:r>
                    <w:rPr>
                      <w:rFonts w:hint="eastAsia" w:ascii="宋体" w:hAnsi="宋体"/>
                      <w:color w:val="auto"/>
                      <w:kern w:val="0"/>
                      <w:szCs w:val="21"/>
                    </w:rPr>
                    <w:t>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5B73F10C">
                  <w:pPr>
                    <w:widowControl/>
                    <w:jc w:val="center"/>
                    <w:rPr>
                      <w:rFonts w:hint="default"/>
                      <w:color w:val="auto"/>
                      <w:lang w:val="en-US"/>
                    </w:rPr>
                  </w:pPr>
                  <w:r>
                    <w:rPr>
                      <w:color w:val="auto"/>
                      <w:kern w:val="0"/>
                      <w:szCs w:val="21"/>
                    </w:rPr>
                    <w:t>50</w:t>
                  </w:r>
                  <w:r>
                    <w:rPr>
                      <w:rFonts w:hint="eastAsia" w:ascii="宋体" w:hAnsi="宋体"/>
                      <w:color w:val="auto"/>
                      <w:kern w:val="0"/>
                      <w:szCs w:val="21"/>
                    </w:rPr>
                    <w:t>个</w:t>
                  </w:r>
                </w:p>
              </w:tc>
            </w:tr>
            <w:tr w14:paraId="7D6D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4D5402C0">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4</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48A5F632">
                  <w:pPr>
                    <w:widowControl/>
                    <w:jc w:val="center"/>
                    <w:rPr>
                      <w:rFonts w:hint="eastAsia"/>
                      <w:color w:val="auto"/>
                    </w:rPr>
                  </w:pPr>
                  <w:r>
                    <w:rPr>
                      <w:rFonts w:hint="eastAsia" w:ascii="宋体" w:hAnsi="宋体" w:cs="宋体"/>
                      <w:kern w:val="0"/>
                      <w:szCs w:val="21"/>
                    </w:rPr>
                    <w:t>地磅</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504A445">
                  <w:pPr>
                    <w:widowControl/>
                    <w:jc w:val="center"/>
                    <w:rPr>
                      <w:rFonts w:hint="eastAsia"/>
                      <w:color w:val="auto"/>
                    </w:rPr>
                  </w:pPr>
                  <w:r>
                    <w:rPr>
                      <w:kern w:val="0"/>
                      <w:szCs w:val="21"/>
                    </w:rPr>
                    <w:t>70</w:t>
                  </w:r>
                  <w:r>
                    <w:rPr>
                      <w:rFonts w:hint="eastAsia" w:ascii="宋体" w:hAnsi="宋体"/>
                      <w:kern w:val="0"/>
                      <w:szCs w:val="21"/>
                    </w:rPr>
                    <w:t>吨</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455B5887">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3843A603">
                  <w:pPr>
                    <w:widowControl/>
                    <w:jc w:val="center"/>
                    <w:rPr>
                      <w:rFonts w:hint="eastAsia"/>
                      <w:color w:val="auto"/>
                    </w:rPr>
                  </w:pPr>
                  <w:r>
                    <w:rPr>
                      <w:color w:val="auto"/>
                      <w:kern w:val="0"/>
                      <w:szCs w:val="21"/>
                    </w:rPr>
                    <w:t>1</w:t>
                  </w:r>
                  <w:r>
                    <w:rPr>
                      <w:rFonts w:hint="eastAsia" w:ascii="宋体" w:hAnsi="宋体"/>
                      <w:color w:val="auto"/>
                      <w:kern w:val="0"/>
                      <w:szCs w:val="21"/>
                    </w:rPr>
                    <w:t>套</w:t>
                  </w:r>
                </w:p>
              </w:tc>
            </w:tr>
            <w:tr w14:paraId="62282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0F5459B6">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5</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5F34D658">
                  <w:pPr>
                    <w:widowControl/>
                    <w:jc w:val="center"/>
                    <w:rPr>
                      <w:rFonts w:hint="eastAsia"/>
                      <w:color w:val="auto"/>
                    </w:rPr>
                  </w:pPr>
                  <w:r>
                    <w:rPr>
                      <w:rFonts w:hint="eastAsia" w:ascii="宋体" w:hAnsi="宋体" w:cs="宋体"/>
                      <w:kern w:val="0"/>
                      <w:szCs w:val="21"/>
                    </w:rPr>
                    <w:t>接料斗</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769E718">
                  <w:pPr>
                    <w:widowControl/>
                    <w:jc w:val="center"/>
                    <w:rPr>
                      <w:rFonts w:hint="eastAsia"/>
                      <w:color w:val="auto"/>
                    </w:rPr>
                  </w:pPr>
                  <w:r>
                    <w:rPr>
                      <w:kern w:val="0"/>
                      <w:szCs w:val="21"/>
                    </w:rPr>
                    <w:t>3500*4000*2200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7496DAD5">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065F830B">
                  <w:pPr>
                    <w:widowControl/>
                    <w:jc w:val="center"/>
                    <w:rPr>
                      <w:rFonts w:hint="eastAsia"/>
                      <w:color w:val="auto"/>
                    </w:rPr>
                  </w:pPr>
                  <w:r>
                    <w:rPr>
                      <w:color w:val="auto"/>
                      <w:kern w:val="0"/>
                      <w:szCs w:val="21"/>
                    </w:rPr>
                    <w:t>1</w:t>
                  </w:r>
                  <w:r>
                    <w:rPr>
                      <w:rFonts w:hint="eastAsia" w:ascii="宋体" w:hAnsi="宋体"/>
                      <w:color w:val="auto"/>
                      <w:kern w:val="0"/>
                      <w:szCs w:val="21"/>
                    </w:rPr>
                    <w:t>只</w:t>
                  </w:r>
                </w:p>
              </w:tc>
            </w:tr>
            <w:tr w14:paraId="766E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4739253B">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6</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6B303B36">
                  <w:pPr>
                    <w:widowControl/>
                    <w:jc w:val="center"/>
                    <w:rPr>
                      <w:rFonts w:hint="eastAsia"/>
                      <w:color w:val="auto"/>
                    </w:rPr>
                  </w:pPr>
                  <w:r>
                    <w:rPr>
                      <w:rFonts w:hint="eastAsia" w:ascii="宋体" w:hAnsi="宋体" w:cs="宋体"/>
                      <w:kern w:val="0"/>
                      <w:szCs w:val="21"/>
                    </w:rPr>
                    <w:t>提升机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1C4CA7D">
                  <w:pPr>
                    <w:widowControl/>
                    <w:jc w:val="center"/>
                    <w:rPr>
                      <w:rFonts w:hint="eastAsia"/>
                      <w:color w:val="auto"/>
                    </w:rPr>
                  </w:pPr>
                  <w:r>
                    <w:rPr>
                      <w:kern w:val="0"/>
                      <w:szCs w:val="21"/>
                    </w:rPr>
                    <w:t>TZG500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6A3BD135">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0A19D13">
                  <w:pPr>
                    <w:widowControl/>
                    <w:jc w:val="center"/>
                    <w:rPr>
                      <w:rFonts w:hint="eastAsia"/>
                      <w:color w:val="auto"/>
                    </w:rPr>
                  </w:pPr>
                  <w:r>
                    <w:rPr>
                      <w:color w:val="auto"/>
                      <w:kern w:val="0"/>
                      <w:szCs w:val="21"/>
                    </w:rPr>
                    <w:t>1</w:t>
                  </w:r>
                  <w:r>
                    <w:rPr>
                      <w:rFonts w:hint="eastAsia" w:ascii="宋体" w:hAnsi="宋体"/>
                      <w:color w:val="auto"/>
                      <w:kern w:val="0"/>
                      <w:szCs w:val="21"/>
                    </w:rPr>
                    <w:t>台</w:t>
                  </w:r>
                </w:p>
              </w:tc>
            </w:tr>
            <w:tr w14:paraId="1BC9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2E5334B5">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7</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3FB1099B">
                  <w:pPr>
                    <w:widowControl/>
                    <w:jc w:val="center"/>
                    <w:rPr>
                      <w:rFonts w:hint="eastAsia"/>
                      <w:color w:val="auto"/>
                    </w:rPr>
                  </w:pPr>
                  <w:r>
                    <w:rPr>
                      <w:rFonts w:hint="eastAsia" w:ascii="宋体" w:hAnsi="宋体" w:cs="宋体"/>
                      <w:kern w:val="0"/>
                      <w:szCs w:val="21"/>
                    </w:rPr>
                    <w:t>撕碎机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7D23191">
                  <w:pPr>
                    <w:widowControl/>
                    <w:jc w:val="center"/>
                    <w:rPr>
                      <w:rFonts w:hint="eastAsia"/>
                      <w:color w:val="auto"/>
                    </w:rPr>
                  </w:pPr>
                  <w:r>
                    <w:rPr>
                      <w:kern w:val="0"/>
                      <w:szCs w:val="21"/>
                    </w:rPr>
                    <w:t>GCL185</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C49F0FC">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2774A448">
                  <w:pPr>
                    <w:widowControl/>
                    <w:jc w:val="center"/>
                    <w:rPr>
                      <w:rFonts w:hint="eastAsia"/>
                      <w:color w:val="auto"/>
                    </w:rPr>
                  </w:pPr>
                  <w:r>
                    <w:rPr>
                      <w:color w:val="auto"/>
                      <w:kern w:val="0"/>
                      <w:szCs w:val="21"/>
                    </w:rPr>
                    <w:t>1</w:t>
                  </w:r>
                  <w:r>
                    <w:rPr>
                      <w:rFonts w:hint="eastAsia" w:ascii="宋体" w:hAnsi="宋体"/>
                      <w:color w:val="auto"/>
                      <w:kern w:val="0"/>
                      <w:szCs w:val="21"/>
                    </w:rPr>
                    <w:t>台</w:t>
                  </w:r>
                </w:p>
              </w:tc>
            </w:tr>
            <w:tr w14:paraId="790F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46F18A4C">
                  <w:pPr>
                    <w:spacing w:line="360" w:lineRule="auto"/>
                    <w:jc w:val="center"/>
                    <w:rPr>
                      <w:rFonts w:hint="eastAsia"/>
                      <w:color w:val="auto"/>
                    </w:rPr>
                  </w:pPr>
                  <w:r>
                    <w:rPr>
                      <w:rFonts w:hint="default" w:ascii="Times New Roman" w:hAnsi="Times New Roman" w:eastAsia="宋体" w:cs="Times New Roman"/>
                      <w:color w:val="auto"/>
                      <w:sz w:val="21"/>
                      <w:szCs w:val="21"/>
                      <w:lang w:val="en-US" w:eastAsia="zh-CN"/>
                    </w:rPr>
                    <w:t>8</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34FDDDE8">
                  <w:pPr>
                    <w:widowControl/>
                    <w:jc w:val="center"/>
                    <w:rPr>
                      <w:rFonts w:hint="eastAsia"/>
                      <w:color w:val="auto"/>
                      <w:lang w:val="en-US" w:eastAsia="zh-CN"/>
                    </w:rPr>
                  </w:pPr>
                  <w:r>
                    <w:rPr>
                      <w:rFonts w:hint="eastAsia" w:ascii="宋体" w:hAnsi="宋体" w:cs="宋体"/>
                      <w:kern w:val="0"/>
                      <w:szCs w:val="21"/>
                    </w:rPr>
                    <w:t>水洗制浆一体机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0E7DE54">
                  <w:pPr>
                    <w:widowControl/>
                    <w:jc w:val="center"/>
                    <w:rPr>
                      <w:rFonts w:hint="default"/>
                      <w:color w:val="auto"/>
                      <w:lang w:val="en-US" w:eastAsia="zh-CN"/>
                    </w:rPr>
                  </w:pPr>
                  <w:r>
                    <w:rPr>
                      <w:kern w:val="0"/>
                      <w:szCs w:val="21"/>
                    </w:rPr>
                    <w:t>SXG525</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65CE3689">
                  <w:pPr>
                    <w:widowControl/>
                    <w:jc w:val="center"/>
                    <w:rPr>
                      <w:rFonts w:hint="default"/>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0931D840">
                  <w:pPr>
                    <w:widowControl/>
                    <w:jc w:val="center"/>
                    <w:rPr>
                      <w:rFonts w:hint="default"/>
                      <w:color w:val="auto"/>
                      <w:lang w:val="en-US" w:eastAsia="zh-CN"/>
                    </w:rPr>
                  </w:pPr>
                  <w:r>
                    <w:rPr>
                      <w:color w:val="auto"/>
                      <w:kern w:val="0"/>
                      <w:szCs w:val="21"/>
                    </w:rPr>
                    <w:t>1</w:t>
                  </w:r>
                  <w:r>
                    <w:rPr>
                      <w:rFonts w:hint="eastAsia" w:ascii="宋体" w:hAnsi="宋体"/>
                      <w:color w:val="auto"/>
                      <w:kern w:val="0"/>
                      <w:szCs w:val="21"/>
                    </w:rPr>
                    <w:t>台</w:t>
                  </w:r>
                </w:p>
              </w:tc>
            </w:tr>
            <w:tr w14:paraId="24DA7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38E48C86">
                  <w:pPr>
                    <w:spacing w:line="360" w:lineRule="auto"/>
                    <w:jc w:val="center"/>
                    <w:rPr>
                      <w:rFonts w:hint="eastAsia"/>
                      <w:color w:val="auto"/>
                    </w:rPr>
                  </w:pPr>
                  <w:r>
                    <w:rPr>
                      <w:rFonts w:hint="eastAsia" w:ascii="Times New Roman" w:hAnsi="Times New Roman" w:eastAsia="宋体" w:cs="Times New Roman"/>
                      <w:color w:val="auto"/>
                      <w:sz w:val="21"/>
                      <w:szCs w:val="21"/>
                      <w:lang w:val="en-US" w:eastAsia="zh-CN"/>
                    </w:rPr>
                    <w:t>9</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2924FB49">
                  <w:pPr>
                    <w:widowControl/>
                    <w:jc w:val="center"/>
                    <w:rPr>
                      <w:rFonts w:hint="default"/>
                      <w:color w:val="auto"/>
                      <w:lang w:val="en-US" w:eastAsia="zh-CN"/>
                    </w:rPr>
                  </w:pPr>
                  <w:r>
                    <w:rPr>
                      <w:rFonts w:hint="eastAsia" w:ascii="宋体" w:hAnsi="宋体" w:cs="宋体"/>
                      <w:kern w:val="0"/>
                      <w:szCs w:val="21"/>
                    </w:rPr>
                    <w:t>有轴绞龙</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28D63B2">
                  <w:pPr>
                    <w:widowControl/>
                    <w:jc w:val="center"/>
                    <w:rPr>
                      <w:rFonts w:hint="default"/>
                      <w:color w:val="auto"/>
                      <w:lang w:val="en-US" w:eastAsia="zh-CN"/>
                    </w:rPr>
                  </w:pPr>
                  <w:r>
                    <w:rPr>
                      <w:kern w:val="0"/>
                      <w:szCs w:val="21"/>
                    </w:rPr>
                    <w:t>Φ300*3100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7382F71C">
                  <w:pPr>
                    <w:widowControl/>
                    <w:jc w:val="center"/>
                    <w:rPr>
                      <w:rFonts w:hint="default"/>
                      <w:color w:val="auto"/>
                      <w:lang w:val="en-US" w:eastAsia="zh-CN"/>
                    </w:rPr>
                  </w:pPr>
                  <w:r>
                    <w:rPr>
                      <w:color w:val="auto"/>
                      <w:kern w:val="0"/>
                      <w:szCs w:val="21"/>
                    </w:rPr>
                    <w:t>2</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4F96274E">
                  <w:pPr>
                    <w:widowControl/>
                    <w:jc w:val="center"/>
                    <w:rPr>
                      <w:rFonts w:hint="default"/>
                      <w:color w:val="auto"/>
                      <w:lang w:val="en-US" w:eastAsia="zh-CN"/>
                    </w:rPr>
                  </w:pPr>
                  <w:r>
                    <w:rPr>
                      <w:color w:val="auto"/>
                      <w:kern w:val="0"/>
                      <w:szCs w:val="21"/>
                    </w:rPr>
                    <w:t>2</w:t>
                  </w:r>
                  <w:r>
                    <w:rPr>
                      <w:rFonts w:hint="eastAsia" w:ascii="宋体" w:hAnsi="宋体"/>
                      <w:color w:val="auto"/>
                      <w:kern w:val="0"/>
                      <w:szCs w:val="21"/>
                    </w:rPr>
                    <w:t>台</w:t>
                  </w:r>
                </w:p>
              </w:tc>
            </w:tr>
            <w:tr w14:paraId="3E24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72ACCCA8">
                  <w:pPr>
                    <w:spacing w:line="360" w:lineRule="auto"/>
                    <w:jc w:val="center"/>
                    <w:rPr>
                      <w:rFonts w:hint="eastAsia"/>
                      <w:color w:val="auto"/>
                    </w:rPr>
                  </w:pPr>
                  <w:r>
                    <w:rPr>
                      <w:rFonts w:hint="eastAsia" w:ascii="Times New Roman" w:hAnsi="Times New Roman" w:eastAsia="宋体" w:cs="Times New Roman"/>
                      <w:color w:val="auto"/>
                      <w:sz w:val="21"/>
                      <w:szCs w:val="21"/>
                      <w:lang w:val="en-US" w:eastAsia="zh-CN"/>
                    </w:rPr>
                    <w:t>10</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6C43EEDA">
                  <w:pPr>
                    <w:widowControl/>
                    <w:jc w:val="center"/>
                    <w:rPr>
                      <w:rFonts w:hint="default"/>
                      <w:color w:val="auto"/>
                      <w:lang w:val="en-US" w:eastAsia="zh-CN"/>
                    </w:rPr>
                  </w:pPr>
                  <w:r>
                    <w:rPr>
                      <w:rFonts w:hint="eastAsia" w:ascii="宋体" w:hAnsi="宋体" w:cs="宋体"/>
                      <w:kern w:val="0"/>
                      <w:szCs w:val="21"/>
                    </w:rPr>
                    <w:t>浆料暂存箱</w:t>
                  </w:r>
                </w:p>
              </w:tc>
              <w:tc>
                <w:tcPr>
                  <w:tcW w:w="2253" w:type="dxa"/>
                  <w:tcBorders>
                    <w:top w:val="single" w:color="000000" w:sz="4" w:space="0"/>
                    <w:left w:val="single" w:color="000000" w:sz="4" w:space="0"/>
                    <w:bottom w:val="single" w:color="auto" w:sz="4" w:space="0"/>
                    <w:right w:val="single" w:color="000000" w:sz="4" w:space="0"/>
                  </w:tcBorders>
                  <w:noWrap/>
                  <w:vAlign w:val="center"/>
                </w:tcPr>
                <w:p w14:paraId="4D31DA60">
                  <w:pPr>
                    <w:widowControl/>
                    <w:jc w:val="center"/>
                    <w:rPr>
                      <w:rFonts w:hint="default"/>
                      <w:color w:val="auto"/>
                      <w:lang w:val="en-US" w:eastAsia="zh-CN"/>
                    </w:rPr>
                  </w:pPr>
                  <w:r>
                    <w:rPr>
                      <w:kern w:val="0"/>
                      <w:szCs w:val="21"/>
                    </w:rPr>
                    <w:t>1000*800*600</w:t>
                  </w:r>
                </w:p>
              </w:tc>
              <w:tc>
                <w:tcPr>
                  <w:tcW w:w="2287" w:type="dxa"/>
                  <w:tcBorders>
                    <w:top w:val="single" w:color="000000" w:sz="4" w:space="0"/>
                    <w:left w:val="single" w:color="000000" w:sz="4" w:space="0"/>
                    <w:bottom w:val="single" w:color="auto" w:sz="4" w:space="0"/>
                    <w:right w:val="single" w:color="000000" w:sz="4" w:space="0"/>
                  </w:tcBorders>
                  <w:noWrap/>
                  <w:vAlign w:val="center"/>
                </w:tcPr>
                <w:p w14:paraId="6CAF5551">
                  <w:pPr>
                    <w:widowControl/>
                    <w:jc w:val="center"/>
                    <w:rPr>
                      <w:rFonts w:hint="default"/>
                      <w:color w:val="auto"/>
                      <w:lang w:val="en-US" w:eastAsia="zh-CN"/>
                    </w:rPr>
                  </w:pPr>
                  <w:r>
                    <w:rPr>
                      <w:color w:val="auto"/>
                      <w:kern w:val="0"/>
                      <w:szCs w:val="21"/>
                    </w:rPr>
                    <w:t>1</w:t>
                  </w:r>
                  <w:r>
                    <w:rPr>
                      <w:rFonts w:hint="eastAsia" w:ascii="宋体" w:hAnsi="宋体"/>
                      <w:color w:val="auto"/>
                      <w:kern w:val="0"/>
                      <w:szCs w:val="21"/>
                    </w:rPr>
                    <w:t>只</w:t>
                  </w:r>
                </w:p>
              </w:tc>
              <w:tc>
                <w:tcPr>
                  <w:tcW w:w="2043" w:type="dxa"/>
                  <w:tcBorders>
                    <w:top w:val="single" w:color="000000" w:sz="4" w:space="0"/>
                    <w:left w:val="single" w:color="000000" w:sz="4" w:space="0"/>
                    <w:bottom w:val="single" w:color="auto" w:sz="4" w:space="0"/>
                    <w:right w:val="single" w:color="000000" w:sz="4" w:space="0"/>
                  </w:tcBorders>
                  <w:noWrap/>
                  <w:vAlign w:val="center"/>
                </w:tcPr>
                <w:p w14:paraId="2F92B9D1">
                  <w:pPr>
                    <w:widowControl/>
                    <w:jc w:val="center"/>
                    <w:rPr>
                      <w:rFonts w:hint="default"/>
                      <w:color w:val="auto"/>
                      <w:lang w:val="en-US" w:eastAsia="zh-CN"/>
                    </w:rPr>
                  </w:pPr>
                  <w:r>
                    <w:rPr>
                      <w:color w:val="auto"/>
                      <w:kern w:val="0"/>
                      <w:szCs w:val="21"/>
                    </w:rPr>
                    <w:t>1</w:t>
                  </w:r>
                  <w:r>
                    <w:rPr>
                      <w:rFonts w:hint="eastAsia" w:ascii="宋体" w:hAnsi="宋体"/>
                      <w:color w:val="auto"/>
                      <w:kern w:val="0"/>
                      <w:szCs w:val="21"/>
                    </w:rPr>
                    <w:t>只</w:t>
                  </w:r>
                </w:p>
              </w:tc>
            </w:tr>
            <w:tr w14:paraId="3D9F1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54D26FE1">
                  <w:pPr>
                    <w:spacing w:line="360" w:lineRule="auto"/>
                    <w:jc w:val="center"/>
                    <w:rPr>
                      <w:rFonts w:hint="eastAsia"/>
                      <w:color w:val="auto"/>
                    </w:rPr>
                  </w:pPr>
                  <w:r>
                    <w:rPr>
                      <w:rFonts w:hint="eastAsia" w:ascii="Times New Roman" w:hAnsi="Times New Roman" w:eastAsia="宋体" w:cs="Times New Roman"/>
                      <w:color w:val="auto"/>
                      <w:sz w:val="21"/>
                      <w:szCs w:val="21"/>
                      <w:lang w:val="en-US" w:eastAsia="zh-CN"/>
                    </w:rPr>
                    <w:t>11</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62780DE2">
                  <w:pPr>
                    <w:widowControl/>
                    <w:jc w:val="center"/>
                    <w:rPr>
                      <w:rFonts w:hint="eastAsia"/>
                      <w:color w:val="auto"/>
                      <w:lang w:val="en-US" w:eastAsia="zh-CN"/>
                    </w:rPr>
                  </w:pPr>
                  <w:r>
                    <w:rPr>
                      <w:rFonts w:hint="eastAsia" w:ascii="宋体" w:hAnsi="宋体" w:cs="宋体"/>
                      <w:kern w:val="0"/>
                      <w:szCs w:val="21"/>
                    </w:rPr>
                    <w:t>螺杆泵</w:t>
                  </w:r>
                </w:p>
              </w:tc>
              <w:tc>
                <w:tcPr>
                  <w:tcW w:w="2253" w:type="dxa"/>
                  <w:tcBorders>
                    <w:top w:val="single" w:color="auto" w:sz="4" w:space="0"/>
                    <w:left w:val="single" w:color="000000" w:sz="4" w:space="0"/>
                    <w:bottom w:val="single" w:color="000000" w:sz="4" w:space="0"/>
                    <w:right w:val="single" w:color="000000" w:sz="4" w:space="0"/>
                  </w:tcBorders>
                  <w:noWrap/>
                  <w:vAlign w:val="center"/>
                </w:tcPr>
                <w:p w14:paraId="797FE651">
                  <w:pPr>
                    <w:widowControl/>
                    <w:jc w:val="center"/>
                    <w:rPr>
                      <w:rFonts w:hint="eastAsia"/>
                      <w:color w:val="auto"/>
                      <w:lang w:val="en-US" w:eastAsia="zh-CN"/>
                    </w:rPr>
                  </w:pPr>
                  <w:r>
                    <w:rPr>
                      <w:kern w:val="0"/>
                      <w:szCs w:val="21"/>
                    </w:rPr>
                    <w:t>G50-2</w:t>
                  </w:r>
                </w:p>
              </w:tc>
              <w:tc>
                <w:tcPr>
                  <w:tcW w:w="2287" w:type="dxa"/>
                  <w:tcBorders>
                    <w:top w:val="single" w:color="auto" w:sz="4" w:space="0"/>
                    <w:left w:val="single" w:color="000000" w:sz="4" w:space="0"/>
                    <w:bottom w:val="single" w:color="000000" w:sz="4" w:space="0"/>
                    <w:right w:val="single" w:color="000000" w:sz="4" w:space="0"/>
                  </w:tcBorders>
                  <w:noWrap/>
                  <w:vAlign w:val="center"/>
                </w:tcPr>
                <w:p w14:paraId="71A38039">
                  <w:pPr>
                    <w:widowControl/>
                    <w:jc w:val="center"/>
                    <w:rPr>
                      <w:rFonts w:hint="eastAsia"/>
                      <w:color w:val="auto"/>
                      <w:lang w:val="en-US" w:eastAsia="zh-CN"/>
                    </w:rPr>
                  </w:pPr>
                  <w:r>
                    <w:rPr>
                      <w:rFonts w:hint="eastAsia"/>
                      <w:color w:val="auto"/>
                      <w:kern w:val="0"/>
                      <w:szCs w:val="21"/>
                    </w:rPr>
                    <w:t>3</w:t>
                  </w:r>
                  <w:r>
                    <w:rPr>
                      <w:rFonts w:hint="eastAsia" w:ascii="宋体" w:hAnsi="宋体"/>
                      <w:color w:val="auto"/>
                      <w:kern w:val="0"/>
                      <w:szCs w:val="21"/>
                    </w:rPr>
                    <w:t>台</w:t>
                  </w:r>
                </w:p>
              </w:tc>
              <w:tc>
                <w:tcPr>
                  <w:tcW w:w="2043" w:type="dxa"/>
                  <w:tcBorders>
                    <w:top w:val="single" w:color="auto" w:sz="4" w:space="0"/>
                    <w:left w:val="single" w:color="000000" w:sz="4" w:space="0"/>
                    <w:bottom w:val="single" w:color="000000" w:sz="4" w:space="0"/>
                    <w:right w:val="single" w:color="000000" w:sz="4" w:space="0"/>
                  </w:tcBorders>
                  <w:noWrap/>
                  <w:vAlign w:val="center"/>
                </w:tcPr>
                <w:p w14:paraId="68AF65AC">
                  <w:pPr>
                    <w:widowControl/>
                    <w:jc w:val="center"/>
                    <w:rPr>
                      <w:rFonts w:hint="eastAsia"/>
                      <w:color w:val="auto"/>
                      <w:lang w:val="en-US" w:eastAsia="zh-CN"/>
                    </w:rPr>
                  </w:pPr>
                  <w:r>
                    <w:rPr>
                      <w:rFonts w:hint="eastAsia"/>
                      <w:color w:val="auto"/>
                      <w:kern w:val="0"/>
                      <w:szCs w:val="21"/>
                    </w:rPr>
                    <w:t>3</w:t>
                  </w:r>
                  <w:r>
                    <w:rPr>
                      <w:rFonts w:hint="eastAsia" w:ascii="宋体" w:hAnsi="宋体"/>
                      <w:color w:val="auto"/>
                      <w:kern w:val="0"/>
                      <w:szCs w:val="21"/>
                    </w:rPr>
                    <w:t>台</w:t>
                  </w:r>
                </w:p>
              </w:tc>
            </w:tr>
            <w:tr w14:paraId="546CA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5D0FD545">
                  <w:pPr>
                    <w:spacing w:line="360" w:lineRule="auto"/>
                    <w:jc w:val="center"/>
                    <w:rPr>
                      <w:rFonts w:hint="eastAsia"/>
                      <w:color w:val="auto"/>
                    </w:rPr>
                  </w:pPr>
                  <w:r>
                    <w:rPr>
                      <w:rFonts w:hint="eastAsia" w:ascii="Times New Roman" w:hAnsi="Times New Roman" w:eastAsia="宋体" w:cs="Times New Roman"/>
                      <w:color w:val="auto"/>
                      <w:sz w:val="21"/>
                      <w:szCs w:val="21"/>
                      <w:lang w:val="en-US" w:eastAsia="zh-CN"/>
                    </w:rPr>
                    <w:t>12</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0C4A67BA">
                  <w:pPr>
                    <w:widowControl/>
                    <w:jc w:val="center"/>
                    <w:rPr>
                      <w:rFonts w:hint="default"/>
                      <w:color w:val="auto"/>
                      <w:lang w:val="en-US" w:eastAsia="zh-CN"/>
                    </w:rPr>
                  </w:pPr>
                  <w:r>
                    <w:rPr>
                      <w:rFonts w:hint="eastAsia" w:ascii="宋体" w:hAnsi="宋体" w:cs="宋体"/>
                      <w:kern w:val="0"/>
                      <w:szCs w:val="21"/>
                    </w:rPr>
                    <w:t>浆料加热箱</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61ABB5B">
                  <w:pPr>
                    <w:widowControl/>
                    <w:jc w:val="center"/>
                    <w:rPr>
                      <w:rFonts w:hint="default"/>
                      <w:color w:val="auto"/>
                      <w:lang w:val="en-US" w:eastAsia="zh-CN"/>
                    </w:rPr>
                  </w:pPr>
                  <w:r>
                    <w:rPr>
                      <w:rFonts w:hint="eastAsia" w:ascii="宋体" w:hAnsi="宋体" w:cs="宋体"/>
                      <w:kern w:val="0"/>
                      <w:szCs w:val="21"/>
                    </w:rPr>
                    <w:t>Φ</w:t>
                  </w:r>
                  <w:r>
                    <w:rPr>
                      <w:kern w:val="0"/>
                      <w:szCs w:val="21"/>
                    </w:rPr>
                    <w:t>2500*2500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5A099FBB">
                  <w:pPr>
                    <w:widowControl/>
                    <w:jc w:val="center"/>
                    <w:rPr>
                      <w:rFonts w:hint="default"/>
                      <w:color w:val="auto"/>
                      <w:lang w:val="en-US" w:eastAsia="zh-CN"/>
                    </w:rPr>
                  </w:pPr>
                  <w:r>
                    <w:rPr>
                      <w:color w:val="auto"/>
                      <w:kern w:val="0"/>
                      <w:szCs w:val="21"/>
                    </w:rPr>
                    <w:t>1</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2E619573">
                  <w:pPr>
                    <w:widowControl/>
                    <w:jc w:val="center"/>
                    <w:rPr>
                      <w:rFonts w:hint="default"/>
                      <w:color w:val="auto"/>
                      <w:lang w:val="en-US" w:eastAsia="zh-CN"/>
                    </w:rPr>
                  </w:pPr>
                  <w:r>
                    <w:rPr>
                      <w:color w:val="auto"/>
                      <w:kern w:val="0"/>
                      <w:szCs w:val="21"/>
                    </w:rPr>
                    <w:t>1</w:t>
                  </w:r>
                  <w:r>
                    <w:rPr>
                      <w:rFonts w:hint="eastAsia" w:ascii="宋体" w:hAnsi="宋体"/>
                      <w:color w:val="auto"/>
                      <w:kern w:val="0"/>
                      <w:szCs w:val="21"/>
                    </w:rPr>
                    <w:t>只</w:t>
                  </w:r>
                </w:p>
              </w:tc>
            </w:tr>
            <w:tr w14:paraId="026DE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514E23FA">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5C24FE3F">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过滤机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C902041">
                  <w:pPr>
                    <w:widowControl/>
                    <w:jc w:val="center"/>
                    <w:rPr>
                      <w:rFonts w:hint="eastAsia"/>
                      <w:color w:val="auto"/>
                      <w:lang w:val="en-US" w:eastAsia="zh-CN"/>
                    </w:rPr>
                  </w:pPr>
                  <w:r>
                    <w:rPr>
                      <w:kern w:val="0"/>
                      <w:szCs w:val="21"/>
                    </w:rPr>
                    <w:t>GRJ-36</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7A38A9FC">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52E53B3E">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r>
            <w:tr w14:paraId="38AA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4F525F5F">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012ED29F">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暂存箱</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76F26AF">
                  <w:pPr>
                    <w:widowControl/>
                    <w:jc w:val="center"/>
                    <w:rPr>
                      <w:rFonts w:hint="eastAsia"/>
                      <w:color w:val="auto"/>
                      <w:lang w:val="en-US" w:eastAsia="zh-CN"/>
                    </w:rPr>
                  </w:pPr>
                  <w:r>
                    <w:rPr>
                      <w:kern w:val="0"/>
                      <w:szCs w:val="21"/>
                    </w:rPr>
                    <w:t>1000*1000*1000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6FDF2129">
                  <w:pPr>
                    <w:widowControl/>
                    <w:jc w:val="center"/>
                    <w:rPr>
                      <w:rFonts w:hint="eastAsia"/>
                      <w:color w:val="auto"/>
                      <w:lang w:val="en-US" w:eastAsia="zh-CN"/>
                    </w:rPr>
                  </w:pPr>
                  <w:r>
                    <w:rPr>
                      <w:color w:val="auto"/>
                      <w:kern w:val="0"/>
                      <w:szCs w:val="21"/>
                    </w:rPr>
                    <w:t>3</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54D26068">
                  <w:pPr>
                    <w:widowControl/>
                    <w:jc w:val="center"/>
                    <w:rPr>
                      <w:rFonts w:hint="eastAsia"/>
                      <w:color w:val="auto"/>
                      <w:lang w:val="en-US" w:eastAsia="zh-CN"/>
                    </w:rPr>
                  </w:pPr>
                  <w:r>
                    <w:rPr>
                      <w:color w:val="auto"/>
                      <w:kern w:val="0"/>
                      <w:szCs w:val="21"/>
                    </w:rPr>
                    <w:t>3</w:t>
                  </w:r>
                  <w:r>
                    <w:rPr>
                      <w:rFonts w:hint="eastAsia" w:ascii="宋体" w:hAnsi="宋体"/>
                      <w:color w:val="auto"/>
                      <w:kern w:val="0"/>
                      <w:szCs w:val="21"/>
                    </w:rPr>
                    <w:t>只</w:t>
                  </w:r>
                </w:p>
              </w:tc>
            </w:tr>
            <w:tr w14:paraId="4D58F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624FFC68">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2D4C648D">
                  <w:pPr>
                    <w:widowControl/>
                    <w:jc w:val="center"/>
                    <w:rPr>
                      <w:rFonts w:hint="eastAsia" w:ascii="Times New Roman" w:hAnsi="Times New Roman" w:eastAsia="宋体" w:cs="Times New Roman"/>
                      <w:color w:val="auto"/>
                      <w:sz w:val="21"/>
                      <w:szCs w:val="21"/>
                      <w:lang w:val="en-US" w:eastAsia="zh-CN"/>
                    </w:rPr>
                  </w:pPr>
                  <w:r>
                    <w:rPr>
                      <w:rFonts w:hint="eastAsia" w:ascii="宋体" w:hAnsi="宋体"/>
                      <w:kern w:val="0"/>
                      <w:szCs w:val="21"/>
                    </w:rPr>
                    <w:t>三相分离机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7003A03">
                  <w:pPr>
                    <w:widowControl/>
                    <w:jc w:val="center"/>
                    <w:rPr>
                      <w:rFonts w:hint="eastAsia"/>
                      <w:color w:val="auto"/>
                      <w:lang w:val="en-US" w:eastAsia="zh-CN"/>
                    </w:rPr>
                  </w:pPr>
                  <w:r>
                    <w:rPr>
                      <w:kern w:val="0"/>
                      <w:szCs w:val="21"/>
                    </w:rPr>
                    <w:t>WS-3</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FF957A6">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28F621E2">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r>
            <w:tr w14:paraId="7DC69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157EF866">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0CF780BA">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固形物暂存箱</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3EE806B">
                  <w:pPr>
                    <w:widowControl/>
                    <w:jc w:val="center"/>
                    <w:rPr>
                      <w:rFonts w:hint="eastAsia"/>
                      <w:color w:val="auto"/>
                      <w:lang w:val="en-US" w:eastAsia="zh-CN"/>
                    </w:rPr>
                  </w:pPr>
                  <w:r>
                    <w:rPr>
                      <w:kern w:val="0"/>
                      <w:szCs w:val="21"/>
                    </w:rPr>
                    <w:t>2000*1500*2000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0C73CC7A">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39373FF1">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只</w:t>
                  </w:r>
                </w:p>
              </w:tc>
            </w:tr>
            <w:tr w14:paraId="2CB4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771734E7">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771C35C4">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螺杆泵</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8EC8B8C">
                  <w:pPr>
                    <w:widowControl/>
                    <w:jc w:val="center"/>
                    <w:rPr>
                      <w:rFonts w:hint="eastAsia"/>
                      <w:color w:val="auto"/>
                      <w:lang w:val="en-US" w:eastAsia="zh-CN"/>
                    </w:rPr>
                  </w:pPr>
                  <w:r>
                    <w:rPr>
                      <w:kern w:val="0"/>
                      <w:szCs w:val="21"/>
                    </w:rPr>
                    <w:t>G50-2</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72D85C80">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EEEA6B4">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r>
            <w:tr w14:paraId="254D4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2960DBBF">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18</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3B0490F4">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高温离心泵</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1C5B61F">
                  <w:pPr>
                    <w:widowControl/>
                    <w:jc w:val="center"/>
                    <w:rPr>
                      <w:rFonts w:hint="eastAsia" w:eastAsia="宋体"/>
                      <w:color w:val="auto"/>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3C265944">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46A0D463">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r>
            <w:tr w14:paraId="1EAB3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11F5C9CD">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18A50691">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油脂自吸泵</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766F8C8">
                  <w:pPr>
                    <w:widowControl/>
                    <w:jc w:val="center"/>
                    <w:rPr>
                      <w:rFonts w:hint="eastAsia"/>
                      <w:color w:val="auto"/>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6D1A19E3">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5A64FA73">
                  <w:pPr>
                    <w:widowControl/>
                    <w:jc w:val="center"/>
                    <w:rPr>
                      <w:rFonts w:hint="eastAsia"/>
                      <w:color w:val="auto"/>
                      <w:lang w:val="en-US" w:eastAsia="zh-CN"/>
                    </w:rPr>
                  </w:pPr>
                  <w:r>
                    <w:rPr>
                      <w:color w:val="auto"/>
                      <w:kern w:val="0"/>
                      <w:szCs w:val="21"/>
                    </w:rPr>
                    <w:t>1</w:t>
                  </w:r>
                  <w:r>
                    <w:rPr>
                      <w:rFonts w:hint="eastAsia" w:ascii="宋体" w:hAnsi="宋体"/>
                      <w:color w:val="auto"/>
                      <w:kern w:val="0"/>
                      <w:szCs w:val="21"/>
                    </w:rPr>
                    <w:t>台</w:t>
                  </w:r>
                </w:p>
              </w:tc>
            </w:tr>
            <w:tr w14:paraId="1B6F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noWrap/>
                  <w:vAlign w:val="center"/>
                </w:tcPr>
                <w:p w14:paraId="5849A104">
                  <w:pPr>
                    <w:spacing w:line="36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6CFBED37">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油脂储油罐</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35CF87FB">
                  <w:pPr>
                    <w:widowControl/>
                    <w:jc w:val="center"/>
                    <w:rPr>
                      <w:rFonts w:hint="eastAsia"/>
                      <w:color w:val="auto"/>
                      <w:lang w:val="en-US" w:eastAsia="zh-CN"/>
                    </w:rPr>
                  </w:pPr>
                  <w:r>
                    <w:rPr>
                      <w:kern w:val="0"/>
                      <w:szCs w:val="21"/>
                    </w:rPr>
                    <w:t>Φ3500*8000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637B83F">
                  <w:pPr>
                    <w:widowControl/>
                    <w:jc w:val="center"/>
                    <w:rPr>
                      <w:rFonts w:hint="eastAsia"/>
                      <w:color w:val="auto"/>
                      <w:lang w:val="en-US" w:eastAsia="zh-CN"/>
                    </w:rPr>
                  </w:pPr>
                  <w:r>
                    <w:rPr>
                      <w:rFonts w:hint="eastAsia"/>
                      <w:color w:val="auto"/>
                      <w:kern w:val="0"/>
                      <w:szCs w:val="21"/>
                    </w:rPr>
                    <w:t>2</w:t>
                  </w:r>
                  <w:r>
                    <w:rPr>
                      <w:rFonts w:hint="eastAsia" w:ascii="宋体" w:hAnsi="宋体"/>
                      <w:color w:val="auto"/>
                      <w:kern w:val="0"/>
                      <w:szCs w:val="21"/>
                    </w:rPr>
                    <w:t>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3AD2E33">
                  <w:pPr>
                    <w:widowControl/>
                    <w:jc w:val="center"/>
                    <w:rPr>
                      <w:rFonts w:hint="eastAsia"/>
                      <w:color w:val="auto"/>
                      <w:lang w:val="en-US" w:eastAsia="zh-CN"/>
                    </w:rPr>
                  </w:pPr>
                  <w:r>
                    <w:rPr>
                      <w:rFonts w:hint="eastAsia"/>
                      <w:color w:val="auto"/>
                      <w:kern w:val="0"/>
                      <w:szCs w:val="21"/>
                    </w:rPr>
                    <w:t>2</w:t>
                  </w:r>
                  <w:r>
                    <w:rPr>
                      <w:rFonts w:hint="eastAsia" w:ascii="宋体" w:hAnsi="宋体"/>
                      <w:color w:val="auto"/>
                      <w:kern w:val="0"/>
                      <w:szCs w:val="21"/>
                    </w:rPr>
                    <w:t>个</w:t>
                  </w:r>
                </w:p>
              </w:tc>
            </w:tr>
            <w:tr w14:paraId="489F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BD1CEEA">
                  <w:pPr>
                    <w:widowControl/>
                    <w:jc w:val="center"/>
                    <w:rPr>
                      <w:rFonts w:hint="eastAsia" w:ascii="Times New Roman" w:hAnsi="Times New Roman" w:eastAsia="宋体" w:cs="Times New Roman"/>
                      <w:kern w:val="0"/>
                      <w:sz w:val="21"/>
                      <w:szCs w:val="21"/>
                      <w:lang w:val="en-US" w:eastAsia="zh-CN" w:bidi="ar-SA"/>
                    </w:rPr>
                  </w:pPr>
                  <w:r>
                    <w:rPr>
                      <w:kern w:val="0"/>
                      <w:szCs w:val="21"/>
                    </w:rPr>
                    <w:t>21</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70B2D1B5">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油脂泵</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250FFBB">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427C6470">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02BBE4D2">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台</w:t>
                  </w:r>
                </w:p>
              </w:tc>
            </w:tr>
            <w:tr w14:paraId="1532D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5A1F2B72">
                  <w:pPr>
                    <w:widowControl/>
                    <w:jc w:val="center"/>
                    <w:rPr>
                      <w:rFonts w:hint="eastAsia" w:ascii="Times New Roman" w:hAnsi="Times New Roman" w:eastAsia="宋体" w:cs="Times New Roman"/>
                      <w:kern w:val="0"/>
                      <w:sz w:val="21"/>
                      <w:szCs w:val="21"/>
                      <w:lang w:val="en-US" w:eastAsia="zh-CN" w:bidi="ar-SA"/>
                    </w:rPr>
                  </w:pPr>
                  <w:r>
                    <w:rPr>
                      <w:kern w:val="0"/>
                      <w:szCs w:val="21"/>
                    </w:rPr>
                    <w:t>22</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01B41236">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热水炉</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AA5EB41">
                  <w:pPr>
                    <w:widowControl/>
                    <w:jc w:val="center"/>
                    <w:rPr>
                      <w:rFonts w:hint="eastAsia" w:ascii="Times New Roman" w:hAnsi="Times New Roman" w:eastAsia="宋体" w:cs="Times New Roman"/>
                      <w:color w:val="auto"/>
                      <w:kern w:val="2"/>
                      <w:sz w:val="21"/>
                      <w:szCs w:val="21"/>
                      <w:lang w:val="en-US" w:eastAsia="zh-CN"/>
                    </w:rPr>
                  </w:pPr>
                  <w:r>
                    <w:rPr>
                      <w:kern w:val="0"/>
                      <w:szCs w:val="21"/>
                    </w:rPr>
                    <w:t>2T/h</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C23C7FB">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49CB9E50">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5C9C6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C612253">
                  <w:pPr>
                    <w:widowControl/>
                    <w:jc w:val="center"/>
                    <w:rPr>
                      <w:rFonts w:hint="eastAsia" w:ascii="Times New Roman" w:hAnsi="Times New Roman" w:eastAsia="宋体" w:cs="Times New Roman"/>
                      <w:kern w:val="0"/>
                      <w:sz w:val="21"/>
                      <w:szCs w:val="21"/>
                      <w:lang w:val="en-US" w:eastAsia="zh-CN" w:bidi="ar-SA"/>
                    </w:rPr>
                  </w:pPr>
                  <w:r>
                    <w:rPr>
                      <w:kern w:val="0"/>
                      <w:szCs w:val="21"/>
                    </w:rPr>
                    <w:t>23</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3B866B58">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电气控制系统</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DBE168A">
                  <w:pPr>
                    <w:widowControl/>
                    <w:jc w:val="center"/>
                    <w:rPr>
                      <w:rFonts w:hint="eastAsia" w:ascii="Times New Roman" w:hAnsi="Times New Roman" w:eastAsia="宋体" w:cs="Times New Roman"/>
                      <w:color w:val="auto"/>
                      <w:kern w:val="2"/>
                      <w:sz w:val="21"/>
                      <w:szCs w:val="21"/>
                      <w:lang w:val="en-US" w:eastAsia="zh-CN"/>
                    </w:rPr>
                  </w:pPr>
                  <w:r>
                    <w:rPr>
                      <w:kern w:val="0"/>
                      <w:szCs w:val="21"/>
                    </w:rPr>
                    <w:t>PLC</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30DCA5FB">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730E9049">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79165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2FB8F16">
                  <w:pPr>
                    <w:widowControl/>
                    <w:jc w:val="center"/>
                    <w:rPr>
                      <w:rFonts w:hint="eastAsia" w:ascii="Times New Roman" w:hAnsi="Times New Roman" w:eastAsia="宋体" w:cs="Times New Roman"/>
                      <w:kern w:val="0"/>
                      <w:sz w:val="21"/>
                      <w:szCs w:val="21"/>
                      <w:lang w:val="en-US" w:eastAsia="zh-CN" w:bidi="ar-SA"/>
                    </w:rPr>
                  </w:pPr>
                  <w:r>
                    <w:rPr>
                      <w:kern w:val="0"/>
                      <w:szCs w:val="21"/>
                    </w:rPr>
                    <w:t>24</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6D8D556F">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负压抽风管道</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638A39D">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kern w:val="0"/>
                      <w:szCs w:val="21"/>
                    </w:rPr>
                    <w:t>PE</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3975ADF3">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组</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4C3E80AD">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组</w:t>
                  </w:r>
                </w:p>
              </w:tc>
            </w:tr>
            <w:tr w14:paraId="5E11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E8B1025">
                  <w:pPr>
                    <w:widowControl/>
                    <w:jc w:val="center"/>
                    <w:rPr>
                      <w:rFonts w:hint="eastAsia" w:ascii="Times New Roman" w:hAnsi="Times New Roman" w:eastAsia="宋体" w:cs="Times New Roman"/>
                      <w:kern w:val="0"/>
                      <w:sz w:val="21"/>
                      <w:szCs w:val="21"/>
                      <w:lang w:val="en-US" w:eastAsia="zh-CN" w:bidi="ar-SA"/>
                    </w:rPr>
                  </w:pPr>
                  <w:r>
                    <w:rPr>
                      <w:kern w:val="0"/>
                      <w:szCs w:val="21"/>
                    </w:rPr>
                    <w:t>25</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4BA8840E">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碱洗喷淋塔</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1920EAC4">
                  <w:pPr>
                    <w:widowControl/>
                    <w:jc w:val="center"/>
                    <w:rPr>
                      <w:rFonts w:hint="eastAsia" w:ascii="Times New Roman" w:hAnsi="Times New Roman" w:eastAsia="宋体" w:cs="Times New Roman"/>
                      <w:color w:val="auto"/>
                      <w:kern w:val="2"/>
                      <w:sz w:val="21"/>
                      <w:szCs w:val="21"/>
                      <w:lang w:val="en-US" w:eastAsia="zh-CN"/>
                    </w:rPr>
                  </w:pPr>
                  <w:r>
                    <w:rPr>
                      <w:kern w:val="0"/>
                      <w:szCs w:val="21"/>
                    </w:rPr>
                    <w:t>Φ1500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4DD53718">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03A2C82C">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套</w:t>
                  </w:r>
                </w:p>
              </w:tc>
            </w:tr>
            <w:tr w14:paraId="14457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B5FEE6F">
                  <w:pPr>
                    <w:widowControl/>
                    <w:jc w:val="center"/>
                    <w:rPr>
                      <w:rFonts w:hint="eastAsia" w:ascii="Times New Roman" w:hAnsi="Times New Roman" w:eastAsia="宋体" w:cs="Times New Roman"/>
                      <w:kern w:val="0"/>
                      <w:sz w:val="21"/>
                      <w:szCs w:val="21"/>
                      <w:lang w:val="en-US" w:eastAsia="zh-CN" w:bidi="ar-SA"/>
                    </w:rPr>
                  </w:pPr>
                  <w:r>
                    <w:rPr>
                      <w:kern w:val="0"/>
                      <w:szCs w:val="21"/>
                    </w:rPr>
                    <w:t>26</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636358B6">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离心泵</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E20296E">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r>
                    <w:rPr>
                      <w:rFonts w:hint="eastAsia" w:ascii="宋体" w:hAnsi="宋体" w:cs="宋体"/>
                      <w:kern w:val="0"/>
                      <w:szCs w:val="21"/>
                    </w:rPr>
                    <w:t>　</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6537C8F0">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0B598FE2">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台</w:t>
                  </w:r>
                </w:p>
              </w:tc>
            </w:tr>
            <w:tr w14:paraId="7774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E5446B0">
                  <w:pPr>
                    <w:widowControl/>
                    <w:jc w:val="center"/>
                    <w:rPr>
                      <w:rFonts w:hint="eastAsia" w:ascii="Times New Roman" w:hAnsi="Times New Roman" w:eastAsia="宋体" w:cs="Times New Roman"/>
                      <w:kern w:val="0"/>
                      <w:sz w:val="21"/>
                      <w:szCs w:val="21"/>
                      <w:lang w:val="en-US" w:eastAsia="zh-CN" w:bidi="ar-SA"/>
                    </w:rPr>
                  </w:pPr>
                  <w:r>
                    <w:rPr>
                      <w:kern w:val="0"/>
                      <w:szCs w:val="21"/>
                    </w:rPr>
                    <w:t>27</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727ED8E1">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除臭风机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2A5898A2">
                  <w:pPr>
                    <w:widowControl/>
                    <w:jc w:val="center"/>
                    <w:rPr>
                      <w:rFonts w:hint="eastAsia" w:ascii="Times New Roman" w:hAnsi="Times New Roman" w:eastAsia="宋体" w:cs="Times New Roman"/>
                      <w:color w:val="auto"/>
                      <w:kern w:val="2"/>
                      <w:sz w:val="21"/>
                      <w:szCs w:val="21"/>
                      <w:lang w:val="en-US" w:eastAsia="zh-CN"/>
                    </w:rPr>
                  </w:pPr>
                  <w:r>
                    <w:rPr>
                      <w:kern w:val="0"/>
                      <w:szCs w:val="21"/>
                    </w:rPr>
                    <w:t>TF-301B-30kw-4P</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16F10A9">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32AD8025">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台</w:t>
                  </w:r>
                </w:p>
              </w:tc>
            </w:tr>
            <w:tr w14:paraId="05B5D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A910655">
                  <w:pPr>
                    <w:widowControl/>
                    <w:jc w:val="center"/>
                    <w:rPr>
                      <w:rFonts w:hint="eastAsia" w:ascii="Times New Roman" w:hAnsi="Times New Roman" w:eastAsia="宋体" w:cs="Times New Roman"/>
                      <w:kern w:val="0"/>
                      <w:sz w:val="21"/>
                      <w:szCs w:val="21"/>
                      <w:lang w:val="en-US" w:eastAsia="zh-CN" w:bidi="ar-SA"/>
                    </w:rPr>
                  </w:pPr>
                  <w:r>
                    <w:rPr>
                      <w:kern w:val="0"/>
                      <w:szCs w:val="21"/>
                    </w:rPr>
                    <w:t>28</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4E8823E1">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生物吸附床</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DD234EE">
                  <w:pPr>
                    <w:widowControl/>
                    <w:jc w:val="center"/>
                    <w:rPr>
                      <w:rFonts w:hint="eastAsia" w:ascii="Times New Roman" w:hAnsi="Times New Roman" w:eastAsia="宋体" w:cs="Times New Roman"/>
                      <w:color w:val="auto"/>
                      <w:kern w:val="2"/>
                      <w:sz w:val="21"/>
                      <w:szCs w:val="21"/>
                      <w:lang w:val="en-US" w:eastAsia="zh-CN"/>
                    </w:rPr>
                  </w:pPr>
                  <w:r>
                    <w:rPr>
                      <w:kern w:val="0"/>
                      <w:szCs w:val="21"/>
                    </w:rPr>
                    <w:t>6000*5000*3600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11C712B">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1361C14">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26BEF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BA32AFB">
                  <w:pPr>
                    <w:widowControl/>
                    <w:jc w:val="center"/>
                    <w:rPr>
                      <w:rFonts w:hint="eastAsia" w:ascii="Times New Roman" w:hAnsi="Times New Roman" w:eastAsia="宋体" w:cs="Times New Roman"/>
                      <w:kern w:val="0"/>
                      <w:sz w:val="21"/>
                      <w:szCs w:val="21"/>
                      <w:lang w:val="en-US" w:eastAsia="zh-CN" w:bidi="ar-SA"/>
                    </w:rPr>
                  </w:pPr>
                  <w:r>
                    <w:rPr>
                      <w:kern w:val="0"/>
                      <w:szCs w:val="21"/>
                    </w:rPr>
                    <w:t>29</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115B60BC">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烟囱</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2642DF2">
                  <w:pPr>
                    <w:widowControl/>
                    <w:jc w:val="center"/>
                    <w:rPr>
                      <w:rFonts w:hint="eastAsia" w:ascii="Times New Roman" w:hAnsi="Times New Roman" w:eastAsia="宋体" w:cs="Times New Roman"/>
                      <w:color w:val="auto"/>
                      <w:kern w:val="2"/>
                      <w:sz w:val="21"/>
                      <w:szCs w:val="21"/>
                      <w:lang w:val="en-US" w:eastAsia="zh-CN"/>
                    </w:rPr>
                  </w:pPr>
                  <w:r>
                    <w:rPr>
                      <w:kern w:val="0"/>
                      <w:szCs w:val="21"/>
                    </w:rPr>
                    <w:t>Φ800*15000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30A018BE">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4A2632AD">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47B23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4CA9861">
                  <w:pPr>
                    <w:widowControl/>
                    <w:jc w:val="center"/>
                    <w:rPr>
                      <w:rFonts w:hint="eastAsia" w:ascii="Times New Roman" w:hAnsi="Times New Roman" w:eastAsia="宋体" w:cs="Times New Roman"/>
                      <w:kern w:val="0"/>
                      <w:sz w:val="21"/>
                      <w:szCs w:val="21"/>
                      <w:lang w:val="en-US" w:eastAsia="zh-CN" w:bidi="ar-SA"/>
                    </w:rPr>
                  </w:pPr>
                  <w:r>
                    <w:rPr>
                      <w:kern w:val="0"/>
                      <w:szCs w:val="21"/>
                    </w:rPr>
                    <w:t>30</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2E90479D">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浓水冷却系统</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8CD72B1">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4078B494">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7B00198F">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5308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6DE9979">
                  <w:pPr>
                    <w:widowControl/>
                    <w:jc w:val="center"/>
                    <w:rPr>
                      <w:rFonts w:hint="eastAsia" w:ascii="Times New Roman" w:hAnsi="Times New Roman" w:eastAsia="宋体" w:cs="Times New Roman"/>
                      <w:kern w:val="0"/>
                      <w:sz w:val="21"/>
                      <w:szCs w:val="21"/>
                      <w:lang w:val="en-US" w:eastAsia="zh-CN" w:bidi="ar-SA"/>
                    </w:rPr>
                  </w:pPr>
                  <w:r>
                    <w:rPr>
                      <w:kern w:val="0"/>
                      <w:szCs w:val="21"/>
                    </w:rPr>
                    <w:t>31</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72E9BB08">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调节罐（带搅拌）</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26C6C29">
                  <w:pPr>
                    <w:widowControl/>
                    <w:jc w:val="center"/>
                    <w:rPr>
                      <w:rFonts w:hint="eastAsia" w:ascii="Times New Roman" w:hAnsi="Times New Roman" w:eastAsia="宋体" w:cs="Times New Roman"/>
                      <w:color w:val="auto"/>
                      <w:kern w:val="2"/>
                      <w:sz w:val="21"/>
                      <w:szCs w:val="21"/>
                      <w:lang w:val="en-US" w:eastAsia="zh-CN"/>
                    </w:rPr>
                  </w:pPr>
                  <w:r>
                    <w:rPr>
                      <w:rFonts w:hint="eastAsia"/>
                      <w:kern w:val="0"/>
                      <w:szCs w:val="21"/>
                    </w:rPr>
                    <w:t>18</w:t>
                  </w:r>
                  <w:r>
                    <w:rPr>
                      <w:kern w:val="0"/>
                      <w:szCs w:val="21"/>
                    </w:rPr>
                    <w:t>m³</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5C2B353">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89A575A">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只</w:t>
                  </w:r>
                </w:p>
              </w:tc>
            </w:tr>
            <w:tr w14:paraId="50B92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9DA9C15">
                  <w:pPr>
                    <w:widowControl/>
                    <w:jc w:val="center"/>
                    <w:rPr>
                      <w:rFonts w:hint="eastAsia" w:ascii="Times New Roman" w:hAnsi="Times New Roman" w:eastAsia="宋体" w:cs="Times New Roman"/>
                      <w:kern w:val="0"/>
                      <w:sz w:val="21"/>
                      <w:szCs w:val="21"/>
                      <w:lang w:val="en-US" w:eastAsia="zh-CN" w:bidi="ar-SA"/>
                    </w:rPr>
                  </w:pPr>
                  <w:r>
                    <w:rPr>
                      <w:kern w:val="0"/>
                      <w:szCs w:val="21"/>
                    </w:rPr>
                    <w:t>32</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4C2D21AA">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厌氧罐</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A666A1E">
                  <w:pPr>
                    <w:widowControl/>
                    <w:jc w:val="center"/>
                    <w:rPr>
                      <w:rFonts w:hint="eastAsia" w:ascii="Times New Roman" w:hAnsi="Times New Roman" w:eastAsia="宋体" w:cs="Times New Roman"/>
                      <w:color w:val="auto"/>
                      <w:kern w:val="2"/>
                      <w:sz w:val="21"/>
                      <w:szCs w:val="21"/>
                      <w:lang w:val="en-US" w:eastAsia="zh-CN"/>
                    </w:rPr>
                  </w:pPr>
                  <w:r>
                    <w:rPr>
                      <w:kern w:val="0"/>
                      <w:szCs w:val="21"/>
                    </w:rPr>
                    <w:t>60m³</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C9B10B8">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EC04866">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601FD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FDEBB95">
                  <w:pPr>
                    <w:widowControl/>
                    <w:jc w:val="center"/>
                    <w:rPr>
                      <w:rFonts w:hint="eastAsia" w:ascii="Times New Roman" w:hAnsi="Times New Roman" w:eastAsia="宋体" w:cs="Times New Roman"/>
                      <w:kern w:val="0"/>
                      <w:sz w:val="21"/>
                      <w:szCs w:val="21"/>
                      <w:lang w:val="en-US" w:eastAsia="zh-CN" w:bidi="ar-SA"/>
                    </w:rPr>
                  </w:pPr>
                  <w:r>
                    <w:rPr>
                      <w:kern w:val="0"/>
                      <w:szCs w:val="21"/>
                    </w:rPr>
                    <w:t>33</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290C7AE0">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提升泵</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8F94563">
                  <w:pPr>
                    <w:widowControl/>
                    <w:rPr>
                      <w:rFonts w:hint="eastAsia" w:ascii="Times New Roman" w:hAnsi="Times New Roman" w:eastAsia="宋体" w:cs="Times New Roman"/>
                      <w:color w:val="auto"/>
                      <w:kern w:val="2"/>
                      <w:sz w:val="21"/>
                      <w:szCs w:val="21"/>
                      <w:lang w:val="en-US" w:eastAsia="zh-CN"/>
                    </w:rPr>
                  </w:pPr>
                  <w:r>
                    <w:rPr>
                      <w:kern w:val="0"/>
                      <w:szCs w:val="21"/>
                    </w:rPr>
                    <w:t>IS65-40-250A</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920E24B">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55B176D2">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台</w:t>
                  </w:r>
                </w:p>
              </w:tc>
            </w:tr>
            <w:tr w14:paraId="4F4F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F996A98">
                  <w:pPr>
                    <w:widowControl/>
                    <w:jc w:val="center"/>
                    <w:rPr>
                      <w:rFonts w:hint="eastAsia" w:ascii="Times New Roman" w:hAnsi="Times New Roman" w:eastAsia="宋体" w:cs="Times New Roman"/>
                      <w:kern w:val="0"/>
                      <w:sz w:val="21"/>
                      <w:szCs w:val="21"/>
                      <w:lang w:val="en-US" w:eastAsia="zh-CN" w:bidi="ar-SA"/>
                    </w:rPr>
                  </w:pPr>
                  <w:r>
                    <w:rPr>
                      <w:kern w:val="0"/>
                      <w:szCs w:val="21"/>
                    </w:rPr>
                    <w:t>34</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1E73AD67">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沼气水封</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10D2CDCF">
                  <w:pPr>
                    <w:widowControl/>
                    <w:rPr>
                      <w:rFonts w:hint="eastAsia" w:ascii="Times New Roman" w:hAnsi="Times New Roman" w:eastAsia="宋体" w:cs="Times New Roman"/>
                      <w:color w:val="auto"/>
                      <w:kern w:val="2"/>
                      <w:sz w:val="21"/>
                      <w:szCs w:val="21"/>
                      <w:lang w:val="en-US" w:eastAsia="zh-CN"/>
                    </w:rPr>
                  </w:pPr>
                  <w:r>
                    <w:rPr>
                      <w:kern w:val="0"/>
                      <w:szCs w:val="21"/>
                    </w:rPr>
                    <w:t>1500*1500*1000</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731B6AE0">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1C4ACF14">
                  <w:pPr>
                    <w:widowControl/>
                    <w:jc w:val="center"/>
                    <w:rPr>
                      <w:rFonts w:hint="eastAsia" w:ascii="Times New Roman" w:hAnsi="Times New Roman" w:eastAsia="宋体" w:cs="Times New Roman"/>
                      <w:color w:val="auto"/>
                      <w:sz w:val="21"/>
                      <w:szCs w:val="21"/>
                      <w:lang w:val="en-US" w:eastAsia="zh-CN"/>
                    </w:rPr>
                  </w:pPr>
                  <w:r>
                    <w:rPr>
                      <w:color w:val="auto"/>
                      <w:kern w:val="0"/>
                      <w:szCs w:val="21"/>
                    </w:rPr>
                    <w:t>2</w:t>
                  </w:r>
                  <w:r>
                    <w:rPr>
                      <w:rFonts w:hint="eastAsia" w:ascii="宋体" w:hAnsi="宋体"/>
                      <w:color w:val="auto"/>
                      <w:kern w:val="0"/>
                      <w:szCs w:val="21"/>
                    </w:rPr>
                    <w:t>只</w:t>
                  </w:r>
                </w:p>
              </w:tc>
            </w:tr>
            <w:tr w14:paraId="67688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043E78B">
                  <w:pPr>
                    <w:widowControl/>
                    <w:jc w:val="center"/>
                    <w:rPr>
                      <w:rFonts w:hint="eastAsia" w:ascii="Times New Roman" w:hAnsi="Times New Roman" w:eastAsia="宋体" w:cs="Times New Roman"/>
                      <w:kern w:val="0"/>
                      <w:sz w:val="21"/>
                      <w:szCs w:val="21"/>
                      <w:lang w:val="en-US" w:eastAsia="zh-CN" w:bidi="ar-SA"/>
                    </w:rPr>
                  </w:pPr>
                  <w:r>
                    <w:rPr>
                      <w:kern w:val="0"/>
                      <w:szCs w:val="21"/>
                    </w:rPr>
                    <w:t>35</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138D3CEA">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沼气储罐</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D51E896">
                  <w:pPr>
                    <w:widowControl/>
                    <w:jc w:val="center"/>
                    <w:rPr>
                      <w:rFonts w:hint="eastAsia" w:ascii="Times New Roman" w:hAnsi="Times New Roman" w:eastAsia="宋体" w:cs="Times New Roman"/>
                      <w:color w:val="auto"/>
                      <w:kern w:val="2"/>
                      <w:sz w:val="21"/>
                      <w:szCs w:val="21"/>
                      <w:lang w:val="en-US" w:eastAsia="zh-CN"/>
                    </w:rPr>
                  </w:pPr>
                  <w:r>
                    <w:rPr>
                      <w:kern w:val="0"/>
                      <w:szCs w:val="21"/>
                    </w:rPr>
                    <w:t>30m³</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38979E92">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只</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2839260C">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只</w:t>
                  </w:r>
                </w:p>
              </w:tc>
            </w:tr>
            <w:tr w14:paraId="5E11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368644B">
                  <w:pPr>
                    <w:widowControl/>
                    <w:jc w:val="center"/>
                    <w:rPr>
                      <w:rFonts w:hint="eastAsia" w:ascii="Times New Roman" w:hAnsi="Times New Roman" w:eastAsia="宋体" w:cs="Times New Roman"/>
                      <w:kern w:val="0"/>
                      <w:sz w:val="21"/>
                      <w:szCs w:val="21"/>
                      <w:lang w:val="en-US" w:eastAsia="zh-CN" w:bidi="ar-SA"/>
                    </w:rPr>
                  </w:pPr>
                  <w:r>
                    <w:rPr>
                      <w:kern w:val="0"/>
                      <w:szCs w:val="21"/>
                    </w:rPr>
                    <w:t>36</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0454BD1C">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沼气净化</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81E6CCB">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BF8352D">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7138E7C2">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3497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555C138E">
                  <w:pPr>
                    <w:widowControl/>
                    <w:jc w:val="center"/>
                    <w:rPr>
                      <w:rFonts w:hint="eastAsia" w:ascii="Times New Roman" w:hAnsi="Times New Roman" w:eastAsia="宋体" w:cs="Times New Roman"/>
                      <w:kern w:val="0"/>
                      <w:sz w:val="21"/>
                      <w:szCs w:val="21"/>
                      <w:lang w:val="en-US" w:eastAsia="zh-CN" w:bidi="ar-SA"/>
                    </w:rPr>
                  </w:pPr>
                  <w:r>
                    <w:rPr>
                      <w:kern w:val="0"/>
                      <w:szCs w:val="21"/>
                    </w:rPr>
                    <w:t>37</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56E643B3">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沼气干燥机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322FF3F5">
                  <w:pPr>
                    <w:widowControl/>
                    <w:jc w:val="center"/>
                    <w:rPr>
                      <w:rFonts w:hint="eastAsia" w:ascii="Times New Roman" w:hAnsi="Times New Roman" w:eastAsia="宋体" w:cs="Times New Roman"/>
                      <w:color w:val="auto"/>
                      <w:kern w:val="2"/>
                      <w:sz w:val="21"/>
                      <w:szCs w:val="21"/>
                      <w:lang w:val="en-US" w:eastAsia="zh-CN"/>
                    </w:rPr>
                  </w:pPr>
                  <w:r>
                    <w:rPr>
                      <w:kern w:val="0"/>
                      <w:szCs w:val="21"/>
                    </w:rPr>
                    <w:t>50m³/h</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55AA6E6D">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73B34A51">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台</w:t>
                  </w:r>
                </w:p>
              </w:tc>
            </w:tr>
            <w:tr w14:paraId="396C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EA1A65B">
                  <w:pPr>
                    <w:widowControl/>
                    <w:jc w:val="center"/>
                    <w:rPr>
                      <w:rFonts w:hint="eastAsia" w:ascii="Times New Roman" w:hAnsi="Times New Roman" w:eastAsia="宋体" w:cs="Times New Roman"/>
                      <w:kern w:val="0"/>
                      <w:sz w:val="21"/>
                      <w:szCs w:val="21"/>
                      <w:lang w:val="en-US" w:eastAsia="zh-CN" w:bidi="ar-SA"/>
                    </w:rPr>
                  </w:pPr>
                  <w:r>
                    <w:rPr>
                      <w:kern w:val="0"/>
                      <w:szCs w:val="21"/>
                    </w:rPr>
                    <w:t>38</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4881C1E2">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阻火器</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5131B3E">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3101BD8">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8A28118">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354F0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7505F1F">
                  <w:pPr>
                    <w:widowControl/>
                    <w:jc w:val="center"/>
                    <w:rPr>
                      <w:rFonts w:hint="eastAsia" w:ascii="Times New Roman" w:hAnsi="Times New Roman" w:eastAsia="宋体" w:cs="Times New Roman"/>
                      <w:kern w:val="0"/>
                      <w:sz w:val="21"/>
                      <w:szCs w:val="21"/>
                      <w:lang w:val="en-US" w:eastAsia="zh-CN" w:bidi="ar-SA"/>
                    </w:rPr>
                  </w:pPr>
                  <w:r>
                    <w:rPr>
                      <w:kern w:val="0"/>
                      <w:szCs w:val="21"/>
                    </w:rPr>
                    <w:t>39</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3079BAD6">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火炬</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078DD932">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84A2CC7">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0AC603F1">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05FB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E8D4873">
                  <w:pPr>
                    <w:widowControl/>
                    <w:jc w:val="center"/>
                    <w:rPr>
                      <w:rFonts w:hint="eastAsia" w:ascii="Times New Roman" w:hAnsi="Times New Roman" w:eastAsia="宋体" w:cs="Times New Roman"/>
                      <w:kern w:val="0"/>
                      <w:sz w:val="21"/>
                      <w:szCs w:val="21"/>
                      <w:lang w:val="en-US" w:eastAsia="zh-CN" w:bidi="ar-SA"/>
                    </w:rPr>
                  </w:pPr>
                  <w:r>
                    <w:rPr>
                      <w:kern w:val="0"/>
                      <w:szCs w:val="21"/>
                    </w:rPr>
                    <w:t>40</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11B5C95C">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沼气稳压罐</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3027F65">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2A9AD204">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5A68E2F3">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r w14:paraId="6CFB1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899296F">
                  <w:pPr>
                    <w:widowControl/>
                    <w:jc w:val="center"/>
                    <w:rPr>
                      <w:rFonts w:hint="eastAsia" w:ascii="Times New Roman" w:hAnsi="Times New Roman" w:eastAsia="宋体" w:cs="Times New Roman"/>
                      <w:kern w:val="0"/>
                      <w:sz w:val="21"/>
                      <w:szCs w:val="21"/>
                      <w:lang w:val="en-US" w:eastAsia="zh-CN" w:bidi="ar-SA"/>
                    </w:rPr>
                  </w:pPr>
                  <w:r>
                    <w:rPr>
                      <w:kern w:val="0"/>
                      <w:szCs w:val="21"/>
                    </w:rPr>
                    <w:t>41</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0033BC66">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罗茨风机</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4D2F041">
                  <w:pPr>
                    <w:widowControl/>
                    <w:jc w:val="center"/>
                    <w:rPr>
                      <w:rFonts w:hint="eastAsia" w:ascii="Times New Roman" w:hAnsi="Times New Roman" w:eastAsia="宋体" w:cs="Times New Roman"/>
                      <w:color w:val="auto"/>
                      <w:kern w:val="2"/>
                      <w:sz w:val="21"/>
                      <w:szCs w:val="21"/>
                      <w:lang w:val="en-US" w:eastAsia="zh-CN"/>
                    </w:rPr>
                  </w:pPr>
                  <w:r>
                    <w:rPr>
                      <w:kern w:val="0"/>
                      <w:szCs w:val="21"/>
                    </w:rPr>
                    <w:t>25m³/h</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0D2382D3">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台</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63EBD33D">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台</w:t>
                  </w:r>
                </w:p>
              </w:tc>
            </w:tr>
            <w:tr w14:paraId="2872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84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DFF27C7">
                  <w:pPr>
                    <w:widowControl/>
                    <w:jc w:val="center"/>
                    <w:rPr>
                      <w:rFonts w:hint="eastAsia" w:ascii="Times New Roman" w:hAnsi="Times New Roman" w:eastAsia="宋体" w:cs="Times New Roman"/>
                      <w:kern w:val="0"/>
                      <w:sz w:val="21"/>
                      <w:szCs w:val="21"/>
                      <w:lang w:val="en-US" w:eastAsia="zh-CN" w:bidi="ar-SA"/>
                    </w:rPr>
                  </w:pPr>
                  <w:r>
                    <w:rPr>
                      <w:kern w:val="0"/>
                      <w:szCs w:val="21"/>
                    </w:rPr>
                    <w:t>42</w:t>
                  </w:r>
                </w:p>
              </w:tc>
              <w:tc>
                <w:tcPr>
                  <w:tcW w:w="2410" w:type="dxa"/>
                  <w:tcBorders>
                    <w:top w:val="single" w:color="auto" w:sz="4" w:space="0"/>
                    <w:left w:val="single" w:color="000000" w:sz="4" w:space="0"/>
                    <w:bottom w:val="single" w:color="auto" w:sz="4" w:space="0"/>
                    <w:right w:val="single" w:color="000000" w:sz="4" w:space="0"/>
                  </w:tcBorders>
                  <w:noWrap/>
                  <w:vAlign w:val="center"/>
                </w:tcPr>
                <w:p w14:paraId="75F69411">
                  <w:pPr>
                    <w:widowControl/>
                    <w:jc w:val="center"/>
                    <w:rPr>
                      <w:rFonts w:hint="eastAsia" w:ascii="Times New Roman" w:hAnsi="Times New Roman" w:eastAsia="宋体" w:cs="Times New Roman"/>
                      <w:color w:val="auto"/>
                      <w:sz w:val="21"/>
                      <w:szCs w:val="21"/>
                      <w:lang w:val="en-US" w:eastAsia="zh-CN"/>
                    </w:rPr>
                  </w:pPr>
                  <w:r>
                    <w:rPr>
                      <w:rFonts w:hint="eastAsia" w:ascii="宋体" w:hAnsi="宋体" w:cs="宋体"/>
                      <w:kern w:val="0"/>
                      <w:szCs w:val="21"/>
                    </w:rPr>
                    <w:t>电气控制系统</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31CC970">
                  <w:pPr>
                    <w:widowControl/>
                    <w:jc w:val="center"/>
                    <w:rPr>
                      <w:rFonts w:hint="eastAsia" w:ascii="Times New Roman" w:hAnsi="Times New Roman" w:eastAsia="宋体" w:cs="Times New Roman"/>
                      <w:color w:val="auto"/>
                      <w:kern w:val="2"/>
                      <w:sz w:val="21"/>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w:t>
                  </w:r>
                  <w:r>
                    <w:rPr>
                      <w:rFonts w:hint="eastAsia" w:ascii="宋体" w:hAnsi="宋体" w:cs="宋体"/>
                      <w:kern w:val="0"/>
                      <w:szCs w:val="21"/>
                    </w:rPr>
                    <w:t>　</w:t>
                  </w:r>
                </w:p>
              </w:tc>
              <w:tc>
                <w:tcPr>
                  <w:tcW w:w="2287" w:type="dxa"/>
                  <w:tcBorders>
                    <w:top w:val="single" w:color="000000" w:sz="4" w:space="0"/>
                    <w:left w:val="single" w:color="000000" w:sz="4" w:space="0"/>
                    <w:bottom w:val="single" w:color="000000" w:sz="4" w:space="0"/>
                    <w:right w:val="single" w:color="000000" w:sz="4" w:space="0"/>
                  </w:tcBorders>
                  <w:noWrap/>
                  <w:vAlign w:val="center"/>
                </w:tcPr>
                <w:p w14:paraId="158828AB">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3A5401EB">
                  <w:pPr>
                    <w:widowControl/>
                    <w:jc w:val="center"/>
                    <w:rPr>
                      <w:rFonts w:hint="eastAsia" w:ascii="Times New Roman" w:hAnsi="Times New Roman" w:eastAsia="宋体" w:cs="Times New Roman"/>
                      <w:color w:val="auto"/>
                      <w:sz w:val="21"/>
                      <w:szCs w:val="21"/>
                      <w:lang w:val="en-US" w:eastAsia="zh-CN"/>
                    </w:rPr>
                  </w:pPr>
                  <w:r>
                    <w:rPr>
                      <w:color w:val="auto"/>
                      <w:kern w:val="0"/>
                      <w:szCs w:val="21"/>
                    </w:rPr>
                    <w:t>1</w:t>
                  </w:r>
                  <w:r>
                    <w:rPr>
                      <w:rFonts w:hint="eastAsia" w:ascii="宋体" w:hAnsi="宋体"/>
                      <w:color w:val="auto"/>
                      <w:kern w:val="0"/>
                      <w:szCs w:val="21"/>
                    </w:rPr>
                    <w:t>套</w:t>
                  </w:r>
                </w:p>
              </w:tc>
            </w:tr>
          </w:tbl>
          <w:p w14:paraId="31545402">
            <w:pPr>
              <w:spacing w:line="360" w:lineRule="auto"/>
              <w:rPr>
                <w:rFonts w:hint="default"/>
              </w:rPr>
            </w:pPr>
          </w:p>
          <w:p w14:paraId="78858559">
            <w:pPr>
              <w:spacing w:line="360" w:lineRule="auto"/>
              <w:rPr>
                <w:rFonts w:hint="default"/>
                <w:sz w:val="24"/>
                <w:szCs w:val="24"/>
              </w:rPr>
            </w:pPr>
          </w:p>
          <w:p w14:paraId="143D66CA">
            <w:pPr>
              <w:spacing w:line="360" w:lineRule="auto"/>
              <w:rPr>
                <w:rFonts w:hint="default"/>
                <w:sz w:val="24"/>
                <w:szCs w:val="24"/>
              </w:rPr>
            </w:pPr>
          </w:p>
          <w:p w14:paraId="3CAC94EC">
            <w:pPr>
              <w:spacing w:line="360" w:lineRule="auto"/>
              <w:rPr>
                <w:rFonts w:hint="default"/>
                <w:sz w:val="24"/>
                <w:szCs w:val="24"/>
              </w:rPr>
            </w:pPr>
          </w:p>
          <w:p w14:paraId="0B41DB81">
            <w:pPr>
              <w:spacing w:line="360" w:lineRule="auto"/>
              <w:rPr>
                <w:rFonts w:hint="default"/>
                <w:sz w:val="24"/>
                <w:szCs w:val="24"/>
              </w:rPr>
            </w:pPr>
          </w:p>
          <w:p w14:paraId="6493AC0B">
            <w:pPr>
              <w:spacing w:line="360" w:lineRule="auto"/>
              <w:rPr>
                <w:rFonts w:hint="default"/>
                <w:sz w:val="24"/>
                <w:szCs w:val="24"/>
              </w:rPr>
            </w:pPr>
          </w:p>
          <w:p w14:paraId="68C96E5E">
            <w:pPr>
              <w:spacing w:line="360" w:lineRule="auto"/>
              <w:rPr>
                <w:rFonts w:hint="eastAsia"/>
                <w:color w:val="auto"/>
                <w:sz w:val="24"/>
                <w:szCs w:val="24"/>
                <w:lang w:val="en-US" w:eastAsia="zh-CN"/>
              </w:rPr>
            </w:pPr>
            <w:r>
              <w:rPr>
                <w:rFonts w:hint="default"/>
                <w:sz w:val="24"/>
                <w:szCs w:val="24"/>
              </w:rPr>
              <w:t>项目</w:t>
            </w:r>
            <w:r>
              <w:rPr>
                <w:rFonts w:hint="default"/>
                <w:color w:val="auto"/>
                <w:sz w:val="24"/>
                <w:szCs w:val="24"/>
              </w:rPr>
              <w:t>主要原辅材料及能耗见表2-3</w:t>
            </w:r>
            <w:r>
              <w:rPr>
                <w:rFonts w:hint="eastAsia"/>
                <w:color w:val="auto"/>
                <w:sz w:val="24"/>
                <w:szCs w:val="24"/>
                <w:lang w:val="en-US" w:eastAsia="zh-CN"/>
              </w:rPr>
              <w:t>。</w:t>
            </w:r>
          </w:p>
          <w:p w14:paraId="00440307">
            <w:pPr>
              <w:spacing w:line="240" w:lineRule="auto"/>
              <w:jc w:val="center"/>
              <w:rPr>
                <w:rFonts w:hint="default"/>
                <w:b/>
                <w:bCs/>
                <w:color w:val="auto"/>
                <w:sz w:val="24"/>
                <w:szCs w:val="24"/>
              </w:rPr>
            </w:pPr>
            <w:r>
              <w:rPr>
                <w:rFonts w:hint="default"/>
                <w:b/>
                <w:bCs/>
                <w:color w:val="auto"/>
                <w:sz w:val="24"/>
                <w:szCs w:val="24"/>
              </w:rPr>
              <w:t xml:space="preserve">表2-3 </w:t>
            </w:r>
            <w:r>
              <w:rPr>
                <w:rFonts w:hint="eastAsia"/>
                <w:b/>
                <w:bCs/>
                <w:color w:val="auto"/>
                <w:sz w:val="24"/>
                <w:szCs w:val="24"/>
                <w:lang w:val="en-US" w:eastAsia="zh-CN"/>
              </w:rPr>
              <w:t xml:space="preserve"> </w:t>
            </w:r>
            <w:r>
              <w:rPr>
                <w:rFonts w:hint="default"/>
                <w:b/>
                <w:bCs/>
                <w:color w:val="auto"/>
                <w:sz w:val="24"/>
                <w:szCs w:val="24"/>
              </w:rPr>
              <w:t>主要原辅材料及能耗表</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16"/>
              <w:gridCol w:w="2604"/>
              <w:gridCol w:w="1844"/>
              <w:gridCol w:w="1893"/>
            </w:tblGrid>
            <w:tr w14:paraId="61CB25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5" w:hRule="atLeast"/>
                <w:jc w:val="center"/>
              </w:trPr>
              <w:tc>
                <w:tcPr>
                  <w:tcW w:w="1316" w:type="dxa"/>
                  <w:tcBorders>
                    <w:tl2br w:val="nil"/>
                    <w:tr2bl w:val="nil"/>
                  </w:tcBorders>
                  <w:noWrap w:val="0"/>
                  <w:vAlign w:val="center"/>
                </w:tcPr>
                <w:p w14:paraId="76CF12E8">
                  <w:pPr>
                    <w:jc w:val="center"/>
                    <w:rPr>
                      <w:rFonts w:hint="eastAsia" w:ascii="Times New Roman" w:hAnsi="Times New Roman" w:eastAsia="宋体" w:cs="Times New Roman"/>
                      <w:lang w:eastAsia="zh-CN"/>
                    </w:rPr>
                  </w:pPr>
                  <w:r>
                    <w:rPr>
                      <w:rFonts w:hint="eastAsia" w:ascii="Times New Roman" w:hAnsi="Times New Roman" w:cs="Times New Roman"/>
                      <w:lang w:val="en-US" w:eastAsia="zh-CN"/>
                    </w:rPr>
                    <w:t>类别</w:t>
                  </w:r>
                </w:p>
              </w:tc>
              <w:tc>
                <w:tcPr>
                  <w:tcW w:w="2604" w:type="dxa"/>
                  <w:tcBorders>
                    <w:tl2br w:val="nil"/>
                    <w:tr2bl w:val="nil"/>
                  </w:tcBorders>
                  <w:noWrap w:val="0"/>
                  <w:vAlign w:val="center"/>
                </w:tcPr>
                <w:p w14:paraId="644E0AD4">
                  <w:pPr>
                    <w:jc w:val="center"/>
                    <w:rPr>
                      <w:rFonts w:hint="default" w:ascii="Times New Roman" w:hAnsi="Times New Roman" w:cs="Times New Roman"/>
                    </w:rPr>
                  </w:pPr>
                  <w:r>
                    <w:rPr>
                      <w:rFonts w:hint="default" w:ascii="Times New Roman" w:hAnsi="Times New Roman" w:cs="Times New Roman"/>
                      <w:lang w:val="en-US" w:eastAsia="zh-CN"/>
                    </w:rPr>
                    <w:t>材料</w:t>
                  </w:r>
                  <w:r>
                    <w:rPr>
                      <w:rFonts w:hint="default" w:ascii="Times New Roman" w:hAnsi="Times New Roman" w:cs="Times New Roman"/>
                    </w:rPr>
                    <w:t>名称</w:t>
                  </w:r>
                </w:p>
              </w:tc>
              <w:tc>
                <w:tcPr>
                  <w:tcW w:w="1844" w:type="dxa"/>
                  <w:tcBorders>
                    <w:tl2br w:val="nil"/>
                    <w:tr2bl w:val="nil"/>
                  </w:tcBorders>
                  <w:noWrap w:val="0"/>
                  <w:vAlign w:val="center"/>
                </w:tcPr>
                <w:p w14:paraId="7B1EEFC6">
                  <w:pPr>
                    <w:jc w:val="center"/>
                    <w:rPr>
                      <w:rFonts w:hint="default" w:ascii="Times New Roman" w:hAnsi="Times New Roman" w:cs="Times New Roman"/>
                    </w:rPr>
                  </w:pPr>
                  <w:r>
                    <w:rPr>
                      <w:rFonts w:hint="default" w:ascii="Times New Roman" w:hAnsi="Times New Roman" w:cs="Times New Roman"/>
                      <w:lang w:val="en-US" w:eastAsia="zh-CN"/>
                    </w:rPr>
                    <w:t>数量</w:t>
                  </w:r>
                </w:p>
              </w:tc>
              <w:tc>
                <w:tcPr>
                  <w:tcW w:w="1893" w:type="dxa"/>
                  <w:tcBorders>
                    <w:tl2br w:val="nil"/>
                    <w:tr2bl w:val="nil"/>
                  </w:tcBorders>
                  <w:noWrap w:val="0"/>
                  <w:vAlign w:val="center"/>
                </w:tcPr>
                <w:p w14:paraId="416F349A">
                  <w:pPr>
                    <w:jc w:val="center"/>
                    <w:rPr>
                      <w:rFonts w:hint="default" w:ascii="Times New Roman" w:hAnsi="Times New Roman" w:cs="Times New Roman"/>
                    </w:rPr>
                  </w:pPr>
                  <w:r>
                    <w:rPr>
                      <w:rFonts w:hint="default" w:ascii="Times New Roman" w:hAnsi="Times New Roman" w:cs="Times New Roman"/>
                    </w:rPr>
                    <w:t>来源</w:t>
                  </w:r>
                </w:p>
              </w:tc>
            </w:tr>
            <w:tr w14:paraId="5A1263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5" w:hRule="atLeast"/>
                <w:jc w:val="center"/>
              </w:trPr>
              <w:tc>
                <w:tcPr>
                  <w:tcW w:w="1316" w:type="dxa"/>
                  <w:vMerge w:val="restart"/>
                  <w:tcBorders>
                    <w:tl2br w:val="nil"/>
                    <w:tr2bl w:val="nil"/>
                  </w:tcBorders>
                  <w:noWrap w:val="0"/>
                  <w:vAlign w:val="center"/>
                </w:tcPr>
                <w:p w14:paraId="2FE95401">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原料</w:t>
                  </w:r>
                </w:p>
              </w:tc>
              <w:tc>
                <w:tcPr>
                  <w:tcW w:w="2604" w:type="dxa"/>
                  <w:tcBorders>
                    <w:tl2br w:val="nil"/>
                    <w:tr2bl w:val="nil"/>
                  </w:tcBorders>
                  <w:noWrap w:val="0"/>
                  <w:vAlign w:val="center"/>
                </w:tcPr>
                <w:p w14:paraId="02EB1E55">
                  <w:pPr>
                    <w:tabs>
                      <w:tab w:val="left" w:pos="3240"/>
                    </w:tabs>
                    <w:jc w:val="center"/>
                    <w:rPr>
                      <w:rFonts w:hint="default" w:ascii="Times New Roman" w:hAnsi="Times New Roman" w:cs="Times New Roman"/>
                      <w:color w:val="auto"/>
                      <w:lang w:val="en-US" w:eastAsia="zh-CN"/>
                    </w:rPr>
                  </w:pPr>
                  <w:r>
                    <w:rPr>
                      <w:rFonts w:hint="eastAsia"/>
                      <w:szCs w:val="21"/>
                    </w:rPr>
                    <w:t>餐厨垃圾（厨余垃圾）</w:t>
                  </w:r>
                </w:p>
              </w:tc>
              <w:tc>
                <w:tcPr>
                  <w:tcW w:w="1844" w:type="dxa"/>
                  <w:tcBorders>
                    <w:tl2br w:val="nil"/>
                    <w:tr2bl w:val="nil"/>
                  </w:tcBorders>
                  <w:noWrap w:val="0"/>
                  <w:vAlign w:val="center"/>
                </w:tcPr>
                <w:p w14:paraId="44B01A8A">
                  <w:pPr>
                    <w:jc w:val="center"/>
                    <w:rPr>
                      <w:rFonts w:hint="default" w:ascii="Times New Roman" w:hAnsi="Times New Roman" w:cs="Times New Roman"/>
                      <w:color w:val="auto"/>
                      <w:lang w:val="en-US" w:eastAsia="zh-CN"/>
                    </w:rPr>
                  </w:pPr>
                  <w:r>
                    <w:rPr>
                      <w:rFonts w:hint="eastAsia"/>
                      <w:szCs w:val="21"/>
                    </w:rPr>
                    <w:t>7300t</w:t>
                  </w:r>
                  <w:r>
                    <w:rPr>
                      <w:szCs w:val="21"/>
                    </w:rPr>
                    <w:t>/</w:t>
                  </w:r>
                  <w:r>
                    <w:rPr>
                      <w:rFonts w:hint="eastAsia"/>
                      <w:szCs w:val="21"/>
                    </w:rPr>
                    <w:t>a</w:t>
                  </w:r>
                </w:p>
              </w:tc>
              <w:tc>
                <w:tcPr>
                  <w:tcW w:w="1893" w:type="dxa"/>
                  <w:vMerge w:val="restart"/>
                  <w:tcBorders>
                    <w:tl2br w:val="nil"/>
                    <w:tr2bl w:val="nil"/>
                  </w:tcBorders>
                  <w:noWrap w:val="0"/>
                  <w:vAlign w:val="center"/>
                </w:tcPr>
                <w:p w14:paraId="2BE240B8">
                  <w:pPr>
                    <w:jc w:val="center"/>
                    <w:rPr>
                      <w:rFonts w:hint="eastAsia" w:ascii="Times New Roman" w:hAnsi="Times New Roman" w:eastAsia="宋体" w:cs="Times New Roman"/>
                      <w:color w:val="auto"/>
                      <w:lang w:val="en-US" w:eastAsia="zh-CN"/>
                    </w:rPr>
                  </w:pPr>
                  <w:r>
                    <w:rPr>
                      <w:rFonts w:hint="eastAsia"/>
                      <w:color w:val="auto"/>
                      <w:szCs w:val="21"/>
                    </w:rPr>
                    <w:t>当地收购，专用罐车运输至预处理车间</w:t>
                  </w:r>
                </w:p>
              </w:tc>
            </w:tr>
            <w:tr w14:paraId="4A14E6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5" w:hRule="atLeast"/>
                <w:jc w:val="center"/>
              </w:trPr>
              <w:tc>
                <w:tcPr>
                  <w:tcW w:w="1316" w:type="dxa"/>
                  <w:vMerge w:val="continue"/>
                  <w:tcBorders>
                    <w:tl2br w:val="nil"/>
                    <w:tr2bl w:val="nil"/>
                  </w:tcBorders>
                  <w:noWrap w:val="0"/>
                  <w:vAlign w:val="center"/>
                </w:tcPr>
                <w:p w14:paraId="6237CDC6">
                  <w:pPr>
                    <w:jc w:val="center"/>
                    <w:rPr>
                      <w:rFonts w:hint="eastAsia" w:ascii="Times New Roman" w:hAnsi="Times New Roman" w:cs="Times New Roman"/>
                      <w:lang w:val="en-US" w:eastAsia="zh-CN"/>
                    </w:rPr>
                  </w:pPr>
                </w:p>
              </w:tc>
              <w:tc>
                <w:tcPr>
                  <w:tcW w:w="2604" w:type="dxa"/>
                  <w:tcBorders>
                    <w:tl2br w:val="nil"/>
                    <w:tr2bl w:val="nil"/>
                  </w:tcBorders>
                  <w:noWrap w:val="0"/>
                  <w:vAlign w:val="center"/>
                </w:tcPr>
                <w:p w14:paraId="0BDA53A7">
                  <w:pPr>
                    <w:tabs>
                      <w:tab w:val="left" w:pos="3240"/>
                    </w:tabs>
                    <w:jc w:val="center"/>
                    <w:rPr>
                      <w:rFonts w:hint="eastAsia" w:ascii="Times New Roman" w:hAnsi="Times New Roman" w:cs="Times New Roman"/>
                      <w:color w:val="auto"/>
                      <w:lang w:val="en-US" w:eastAsia="zh-CN"/>
                    </w:rPr>
                  </w:pPr>
                  <w:r>
                    <w:rPr>
                      <w:rFonts w:hint="eastAsia"/>
                      <w:szCs w:val="21"/>
                    </w:rPr>
                    <w:t>泔水油</w:t>
                  </w:r>
                </w:p>
              </w:tc>
              <w:tc>
                <w:tcPr>
                  <w:tcW w:w="1844" w:type="dxa"/>
                  <w:tcBorders>
                    <w:tl2br w:val="nil"/>
                    <w:tr2bl w:val="nil"/>
                  </w:tcBorders>
                  <w:noWrap w:val="0"/>
                  <w:vAlign w:val="center"/>
                </w:tcPr>
                <w:p w14:paraId="52D0DFF9">
                  <w:pPr>
                    <w:jc w:val="center"/>
                    <w:rPr>
                      <w:rFonts w:hint="eastAsia" w:ascii="Times New Roman" w:hAnsi="Times New Roman" w:cs="Times New Roman"/>
                      <w:color w:val="auto"/>
                      <w:lang w:val="en-US" w:eastAsia="zh-CN"/>
                    </w:rPr>
                  </w:pPr>
                  <w:r>
                    <w:rPr>
                      <w:rFonts w:hint="eastAsia"/>
                      <w:szCs w:val="21"/>
                    </w:rPr>
                    <w:t>730t</w:t>
                  </w:r>
                  <w:r>
                    <w:rPr>
                      <w:szCs w:val="21"/>
                    </w:rPr>
                    <w:t>/</w:t>
                  </w:r>
                  <w:r>
                    <w:rPr>
                      <w:rFonts w:hint="eastAsia"/>
                      <w:szCs w:val="21"/>
                    </w:rPr>
                    <w:t>a</w:t>
                  </w:r>
                </w:p>
              </w:tc>
              <w:tc>
                <w:tcPr>
                  <w:tcW w:w="1893" w:type="dxa"/>
                  <w:vMerge w:val="continue"/>
                  <w:tcBorders>
                    <w:tl2br w:val="nil"/>
                    <w:tr2bl w:val="nil"/>
                  </w:tcBorders>
                  <w:noWrap w:val="0"/>
                  <w:vAlign w:val="center"/>
                </w:tcPr>
                <w:p w14:paraId="050A0E4B">
                  <w:pPr>
                    <w:jc w:val="center"/>
                    <w:rPr>
                      <w:rFonts w:hint="eastAsia" w:ascii="Times New Roman" w:hAnsi="Times New Roman" w:cs="Times New Roman"/>
                      <w:color w:val="auto"/>
                      <w:lang w:val="en-US" w:eastAsia="zh-CN"/>
                    </w:rPr>
                  </w:pPr>
                </w:p>
              </w:tc>
            </w:tr>
            <w:tr w14:paraId="1F3F4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1316" w:type="dxa"/>
                  <w:vMerge w:val="continue"/>
                  <w:tcBorders>
                    <w:tl2br w:val="nil"/>
                    <w:tr2bl w:val="nil"/>
                  </w:tcBorders>
                  <w:noWrap w:val="0"/>
                  <w:vAlign w:val="center"/>
                </w:tcPr>
                <w:p w14:paraId="1C021FE0">
                  <w:pPr>
                    <w:jc w:val="center"/>
                    <w:rPr>
                      <w:rFonts w:hint="eastAsia" w:ascii="Times New Roman" w:hAnsi="Times New Roman" w:cs="Times New Roman"/>
                      <w:lang w:val="en-US" w:eastAsia="zh-CN"/>
                    </w:rPr>
                  </w:pPr>
                </w:p>
              </w:tc>
              <w:tc>
                <w:tcPr>
                  <w:tcW w:w="2604" w:type="dxa"/>
                  <w:tcBorders>
                    <w:tl2br w:val="nil"/>
                    <w:tr2bl w:val="nil"/>
                  </w:tcBorders>
                  <w:noWrap w:val="0"/>
                  <w:vAlign w:val="center"/>
                </w:tcPr>
                <w:p w14:paraId="07A4D9EC">
                  <w:pPr>
                    <w:tabs>
                      <w:tab w:val="left" w:pos="3240"/>
                    </w:tabs>
                    <w:jc w:val="center"/>
                    <w:rPr>
                      <w:rFonts w:hint="eastAsia" w:ascii="Times New Roman" w:hAnsi="Times New Roman" w:cs="Times New Roman"/>
                      <w:color w:val="auto"/>
                      <w:lang w:val="en-US" w:eastAsia="zh-CN"/>
                    </w:rPr>
                  </w:pPr>
                  <w:r>
                    <w:rPr>
                      <w:szCs w:val="21"/>
                    </w:rPr>
                    <w:t>脱硫剂</w:t>
                  </w:r>
                </w:p>
              </w:tc>
              <w:tc>
                <w:tcPr>
                  <w:tcW w:w="1844" w:type="dxa"/>
                  <w:tcBorders>
                    <w:tl2br w:val="nil"/>
                    <w:tr2bl w:val="nil"/>
                  </w:tcBorders>
                  <w:noWrap w:val="0"/>
                  <w:vAlign w:val="center"/>
                </w:tcPr>
                <w:p w14:paraId="5C424A46">
                  <w:pPr>
                    <w:tabs>
                      <w:tab w:val="left" w:pos="3240"/>
                    </w:tabs>
                    <w:jc w:val="center"/>
                    <w:rPr>
                      <w:rFonts w:hint="eastAsia" w:ascii="Times New Roman" w:hAnsi="Times New Roman" w:cs="Times New Roman"/>
                      <w:color w:val="auto"/>
                      <w:lang w:val="en-US" w:eastAsia="zh-CN"/>
                    </w:rPr>
                  </w:pPr>
                  <w:r>
                    <w:rPr>
                      <w:rFonts w:hint="eastAsia"/>
                      <w:szCs w:val="21"/>
                    </w:rPr>
                    <w:t>2t</w:t>
                  </w:r>
                  <w:r>
                    <w:rPr>
                      <w:szCs w:val="21"/>
                    </w:rPr>
                    <w:t>/</w:t>
                  </w:r>
                  <w:r>
                    <w:rPr>
                      <w:rFonts w:hint="eastAsia"/>
                      <w:szCs w:val="21"/>
                    </w:rPr>
                    <w:t>a</w:t>
                  </w:r>
                </w:p>
              </w:tc>
              <w:tc>
                <w:tcPr>
                  <w:tcW w:w="1893" w:type="dxa"/>
                  <w:tcBorders>
                    <w:tl2br w:val="nil"/>
                    <w:tr2bl w:val="nil"/>
                  </w:tcBorders>
                  <w:noWrap w:val="0"/>
                  <w:vAlign w:val="center"/>
                </w:tcPr>
                <w:p w14:paraId="518F1DDE">
                  <w:pPr>
                    <w:tabs>
                      <w:tab w:val="left" w:pos="3240"/>
                    </w:tabs>
                    <w:jc w:val="center"/>
                    <w:rPr>
                      <w:rFonts w:hint="eastAsia" w:ascii="Times New Roman" w:hAnsi="Times New Roman" w:cs="Times New Roman"/>
                      <w:color w:val="auto"/>
                      <w:lang w:val="en-US" w:eastAsia="zh-CN"/>
                    </w:rPr>
                  </w:pPr>
                  <w:r>
                    <w:rPr>
                      <w:color w:val="auto"/>
                      <w:szCs w:val="21"/>
                    </w:rPr>
                    <w:t>外购</w:t>
                  </w:r>
                </w:p>
              </w:tc>
            </w:tr>
            <w:tr w14:paraId="1E0A56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1316" w:type="dxa"/>
                  <w:vMerge w:val="continue"/>
                  <w:tcBorders>
                    <w:tl2br w:val="nil"/>
                    <w:tr2bl w:val="nil"/>
                  </w:tcBorders>
                  <w:noWrap w:val="0"/>
                  <w:vAlign w:val="center"/>
                </w:tcPr>
                <w:p w14:paraId="66B53EC6">
                  <w:pPr>
                    <w:jc w:val="center"/>
                    <w:rPr>
                      <w:rFonts w:hint="eastAsia" w:ascii="Times New Roman" w:hAnsi="Times New Roman" w:cs="Times New Roman"/>
                      <w:lang w:val="en-US" w:eastAsia="zh-CN"/>
                    </w:rPr>
                  </w:pPr>
                </w:p>
              </w:tc>
              <w:tc>
                <w:tcPr>
                  <w:tcW w:w="2604" w:type="dxa"/>
                  <w:tcBorders>
                    <w:tl2br w:val="nil"/>
                    <w:tr2bl w:val="nil"/>
                  </w:tcBorders>
                  <w:noWrap w:val="0"/>
                  <w:vAlign w:val="center"/>
                </w:tcPr>
                <w:p w14:paraId="02C65B69">
                  <w:pPr>
                    <w:tabs>
                      <w:tab w:val="left" w:pos="3240"/>
                    </w:tabs>
                    <w:jc w:val="center"/>
                    <w:rPr>
                      <w:rFonts w:hint="eastAsia" w:ascii="Times New Roman" w:hAnsi="Times New Roman" w:cs="Times New Roman"/>
                      <w:color w:val="auto"/>
                      <w:lang w:val="en-US" w:eastAsia="zh-CN"/>
                    </w:rPr>
                  </w:pPr>
                  <w:r>
                    <w:rPr>
                      <w:szCs w:val="21"/>
                    </w:rPr>
                    <w:t>植物除臭液</w:t>
                  </w:r>
                </w:p>
              </w:tc>
              <w:tc>
                <w:tcPr>
                  <w:tcW w:w="1844" w:type="dxa"/>
                  <w:tcBorders>
                    <w:tl2br w:val="nil"/>
                    <w:tr2bl w:val="nil"/>
                  </w:tcBorders>
                  <w:noWrap w:val="0"/>
                  <w:vAlign w:val="center"/>
                </w:tcPr>
                <w:p w14:paraId="3795074D">
                  <w:pPr>
                    <w:tabs>
                      <w:tab w:val="left" w:pos="3240"/>
                    </w:tabs>
                    <w:jc w:val="center"/>
                    <w:rPr>
                      <w:rFonts w:hint="eastAsia" w:ascii="Times New Roman" w:hAnsi="Times New Roman" w:cs="Times New Roman"/>
                      <w:color w:val="auto"/>
                      <w:lang w:val="en-US" w:eastAsia="zh-CN"/>
                    </w:rPr>
                  </w:pPr>
                  <w:r>
                    <w:rPr>
                      <w:rFonts w:hint="eastAsia"/>
                      <w:szCs w:val="21"/>
                    </w:rPr>
                    <w:t>2t</w:t>
                  </w:r>
                  <w:r>
                    <w:rPr>
                      <w:szCs w:val="21"/>
                    </w:rPr>
                    <w:t>/</w:t>
                  </w:r>
                  <w:r>
                    <w:rPr>
                      <w:rFonts w:hint="eastAsia"/>
                      <w:szCs w:val="21"/>
                    </w:rPr>
                    <w:t>a</w:t>
                  </w:r>
                </w:p>
              </w:tc>
              <w:tc>
                <w:tcPr>
                  <w:tcW w:w="1893" w:type="dxa"/>
                  <w:tcBorders>
                    <w:tl2br w:val="nil"/>
                    <w:tr2bl w:val="nil"/>
                  </w:tcBorders>
                  <w:noWrap w:val="0"/>
                  <w:vAlign w:val="center"/>
                </w:tcPr>
                <w:p w14:paraId="3376DC6B">
                  <w:pPr>
                    <w:tabs>
                      <w:tab w:val="left" w:pos="3240"/>
                    </w:tabs>
                    <w:jc w:val="center"/>
                    <w:rPr>
                      <w:rFonts w:hint="eastAsia" w:ascii="Times New Roman" w:hAnsi="Times New Roman" w:cs="Times New Roman"/>
                      <w:color w:val="auto"/>
                      <w:lang w:val="en-US" w:eastAsia="zh-CN"/>
                    </w:rPr>
                  </w:pPr>
                  <w:r>
                    <w:rPr>
                      <w:color w:val="auto"/>
                      <w:szCs w:val="21"/>
                    </w:rPr>
                    <w:t>外购</w:t>
                  </w:r>
                </w:p>
              </w:tc>
            </w:tr>
            <w:tr w14:paraId="450FFD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9" w:hRule="atLeast"/>
                <w:jc w:val="center"/>
              </w:trPr>
              <w:tc>
                <w:tcPr>
                  <w:tcW w:w="1316" w:type="dxa"/>
                  <w:vMerge w:val="restart"/>
                  <w:tcBorders>
                    <w:tl2br w:val="nil"/>
                    <w:tr2bl w:val="nil"/>
                  </w:tcBorders>
                  <w:noWrap w:val="0"/>
                  <w:vAlign w:val="center"/>
                </w:tcPr>
                <w:p w14:paraId="4853D3A1">
                  <w:pPr>
                    <w:jc w:val="center"/>
                    <w:rPr>
                      <w:rFonts w:hint="default" w:ascii="Times New Roman" w:hAnsi="Times New Roman" w:cs="Times New Roman"/>
                    </w:rPr>
                  </w:pPr>
                  <w:r>
                    <w:rPr>
                      <w:rFonts w:hint="default" w:ascii="Times New Roman" w:hAnsi="Times New Roman" w:cs="Times New Roman"/>
                    </w:rPr>
                    <w:t>能源</w:t>
                  </w:r>
                </w:p>
              </w:tc>
              <w:tc>
                <w:tcPr>
                  <w:tcW w:w="2604" w:type="dxa"/>
                  <w:tcBorders>
                    <w:tl2br w:val="nil"/>
                    <w:tr2bl w:val="nil"/>
                  </w:tcBorders>
                  <w:noWrap w:val="0"/>
                  <w:vAlign w:val="center"/>
                </w:tcPr>
                <w:p w14:paraId="613DB2C2">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电</w:t>
                  </w:r>
                </w:p>
              </w:tc>
              <w:tc>
                <w:tcPr>
                  <w:tcW w:w="1844" w:type="dxa"/>
                  <w:tcBorders>
                    <w:tl2br w:val="nil"/>
                    <w:tr2bl w:val="nil"/>
                  </w:tcBorders>
                  <w:noWrap w:val="0"/>
                  <w:vAlign w:val="center"/>
                </w:tcPr>
                <w:p w14:paraId="2B865C7B">
                  <w:pPr>
                    <w:jc w:val="center"/>
                    <w:rPr>
                      <w:rFonts w:hint="default" w:ascii="Times New Roman" w:hAnsi="Times New Roman" w:eastAsia="宋体" w:cs="Times New Roman"/>
                      <w:lang w:val="en-US" w:eastAsia="zh-CN"/>
                    </w:rPr>
                  </w:pPr>
                  <w:r>
                    <w:rPr>
                      <w:rFonts w:hint="eastAsia"/>
                      <w:color w:val="000000"/>
                      <w:szCs w:val="21"/>
                    </w:rPr>
                    <w:t>28</w:t>
                  </w:r>
                  <w:r>
                    <w:rPr>
                      <w:rFonts w:hint="eastAsia"/>
                      <w:color w:val="000000"/>
                      <w:szCs w:val="21"/>
                      <w:lang w:val="en-US" w:eastAsia="zh-CN"/>
                    </w:rPr>
                    <w:t>.</w:t>
                  </w:r>
                  <w:r>
                    <w:rPr>
                      <w:rFonts w:hint="eastAsia"/>
                      <w:color w:val="000000"/>
                      <w:szCs w:val="21"/>
                    </w:rPr>
                    <w:t>8</w:t>
                  </w:r>
                  <w:r>
                    <w:rPr>
                      <w:rFonts w:hint="default" w:ascii="Times New Roman" w:hAnsi="Times New Roman" w:cs="Times New Roman"/>
                    </w:rPr>
                    <w:t>万</w:t>
                  </w:r>
                  <w:r>
                    <w:rPr>
                      <w:rFonts w:hint="default" w:ascii="Times New Roman" w:hAnsi="Times New Roman" w:cs="Times New Roman"/>
                      <w:color w:val="000000"/>
                      <w:szCs w:val="21"/>
                    </w:rPr>
                    <w:t>KW·h</w:t>
                  </w:r>
                  <w:r>
                    <w:rPr>
                      <w:rFonts w:hint="default" w:ascii="Times New Roman" w:hAnsi="Times New Roman" w:cs="Times New Roman"/>
                      <w:color w:val="000000"/>
                      <w:szCs w:val="21"/>
                      <w:lang w:val="en-US" w:eastAsia="zh-CN"/>
                    </w:rPr>
                    <w:t>/a</w:t>
                  </w:r>
                </w:p>
              </w:tc>
              <w:tc>
                <w:tcPr>
                  <w:tcW w:w="1893" w:type="dxa"/>
                  <w:tcBorders>
                    <w:tl2br w:val="nil"/>
                    <w:tr2bl w:val="nil"/>
                  </w:tcBorders>
                  <w:noWrap w:val="0"/>
                  <w:vAlign w:val="center"/>
                </w:tcPr>
                <w:p w14:paraId="67B4662B">
                  <w:pPr>
                    <w:jc w:val="center"/>
                    <w:rPr>
                      <w:rFonts w:hint="default" w:ascii="Times New Roman" w:hAnsi="Times New Roman" w:eastAsia="宋体" w:cs="Times New Roman"/>
                      <w:lang w:eastAsia="zh-CN"/>
                    </w:rPr>
                  </w:pPr>
                  <w:r>
                    <w:rPr>
                      <w:rFonts w:hint="eastAsia" w:ascii="Times New Roman" w:hAnsi="Times New Roman" w:cs="Times New Roman"/>
                      <w:lang w:val="en-US" w:eastAsia="zh-CN"/>
                    </w:rPr>
                    <w:t>市政电网</w:t>
                  </w:r>
                </w:p>
              </w:tc>
            </w:tr>
            <w:tr w14:paraId="56DC38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0" w:hRule="atLeast"/>
                <w:jc w:val="center"/>
              </w:trPr>
              <w:tc>
                <w:tcPr>
                  <w:tcW w:w="1316" w:type="dxa"/>
                  <w:vMerge w:val="continue"/>
                  <w:tcBorders>
                    <w:tl2br w:val="nil"/>
                    <w:tr2bl w:val="nil"/>
                  </w:tcBorders>
                  <w:noWrap w:val="0"/>
                  <w:vAlign w:val="center"/>
                </w:tcPr>
                <w:p w14:paraId="64C519E5">
                  <w:pPr>
                    <w:jc w:val="center"/>
                    <w:rPr>
                      <w:rFonts w:hint="default" w:ascii="Times New Roman" w:hAnsi="Times New Roman" w:cs="Times New Roman"/>
                    </w:rPr>
                  </w:pPr>
                </w:p>
              </w:tc>
              <w:tc>
                <w:tcPr>
                  <w:tcW w:w="2604" w:type="dxa"/>
                  <w:tcBorders>
                    <w:tl2br w:val="nil"/>
                    <w:tr2bl w:val="nil"/>
                  </w:tcBorders>
                  <w:noWrap w:val="0"/>
                  <w:vAlign w:val="center"/>
                </w:tcPr>
                <w:p w14:paraId="47123E87">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生活用水</w:t>
                  </w:r>
                </w:p>
              </w:tc>
              <w:tc>
                <w:tcPr>
                  <w:tcW w:w="1844" w:type="dxa"/>
                  <w:tcBorders>
                    <w:tl2br w:val="nil"/>
                    <w:tr2bl w:val="nil"/>
                  </w:tcBorders>
                  <w:noWrap w:val="0"/>
                  <w:vAlign w:val="center"/>
                </w:tcPr>
                <w:p w14:paraId="396AB5F8">
                  <w:pPr>
                    <w:jc w:val="center"/>
                    <w:rPr>
                      <w:rFonts w:hint="default" w:ascii="Times New Roman" w:hAnsi="Times New Roman" w:eastAsia="宋体" w:cs="Times New Roman"/>
                      <w:kern w:val="2"/>
                      <w:sz w:val="21"/>
                      <w:szCs w:val="24"/>
                      <w:vertAlign w:val="baseline"/>
                      <w:lang w:val="en-US" w:eastAsia="zh-CN" w:bidi="ar-SA"/>
                    </w:rPr>
                  </w:pPr>
                  <w:r>
                    <w:rPr>
                      <w:rFonts w:hint="eastAsia"/>
                      <w:color w:val="000000"/>
                      <w:szCs w:val="21"/>
                      <w:lang w:val="en-US" w:eastAsia="zh-CN"/>
                    </w:rPr>
                    <w:t>1600</w:t>
                  </w:r>
                  <w:r>
                    <w:rPr>
                      <w:rFonts w:hint="default" w:ascii="Times New Roman" w:hAnsi="Times New Roman" w:cs="Times New Roman"/>
                    </w:rPr>
                    <w:t xml:space="preserve"> </w:t>
                  </w: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eastAsia" w:ascii="Times New Roman" w:hAnsi="Times New Roman" w:cs="Times New Roman"/>
                      <w:color w:val="000000"/>
                      <w:szCs w:val="21"/>
                      <w:vertAlign w:val="baseline"/>
                      <w:lang w:val="en-US" w:eastAsia="zh-CN"/>
                    </w:rPr>
                    <w:t>/a</w:t>
                  </w:r>
                </w:p>
              </w:tc>
              <w:tc>
                <w:tcPr>
                  <w:tcW w:w="1893" w:type="dxa"/>
                  <w:tcBorders>
                    <w:tl2br w:val="nil"/>
                    <w:tr2bl w:val="nil"/>
                  </w:tcBorders>
                  <w:noWrap w:val="0"/>
                  <w:vAlign w:val="center"/>
                </w:tcPr>
                <w:p w14:paraId="5D3B3E88">
                  <w:pPr>
                    <w:jc w:val="center"/>
                    <w:rPr>
                      <w:rFonts w:hint="default" w:ascii="Times New Roman" w:hAnsi="Times New Roman" w:eastAsia="宋体" w:cs="Times New Roman"/>
                      <w:kern w:val="2"/>
                      <w:sz w:val="21"/>
                      <w:szCs w:val="24"/>
                      <w:lang w:val="en-US" w:eastAsia="zh-CN" w:bidi="ar-SA"/>
                    </w:rPr>
                  </w:pPr>
                  <w:r>
                    <w:rPr>
                      <w:rFonts w:hint="eastAsia" w:ascii="Times New Roman" w:hAnsi="Times New Roman" w:cs="Times New Roman"/>
                      <w:lang w:val="en-US" w:eastAsia="zh-CN"/>
                    </w:rPr>
                    <w:t>市政自来水管网</w:t>
                  </w:r>
                </w:p>
              </w:tc>
            </w:tr>
          </w:tbl>
          <w:p w14:paraId="29F360B8">
            <w:pPr>
              <w:spacing w:before="48" w:beforeLines="20"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项目产品方案见表</w:t>
            </w:r>
            <w:r>
              <w:rPr>
                <w:rFonts w:hint="eastAsia" w:ascii="Times New Roman" w:hAnsi="Times New Roman" w:cs="Times New Roman"/>
                <w:color w:val="auto"/>
                <w:sz w:val="24"/>
                <w:szCs w:val="24"/>
                <w:lang w:val="en-US" w:eastAsia="zh-CN"/>
              </w:rPr>
              <w:t>2-4</w:t>
            </w:r>
            <w:r>
              <w:rPr>
                <w:rFonts w:hint="default" w:ascii="Times New Roman" w:hAnsi="Times New Roman" w:cs="Times New Roman"/>
                <w:color w:val="auto"/>
                <w:sz w:val="24"/>
                <w:szCs w:val="24"/>
                <w:lang w:val="en-US" w:eastAsia="zh-CN"/>
              </w:rPr>
              <w:t>。</w:t>
            </w:r>
          </w:p>
          <w:p w14:paraId="3BE207BA">
            <w:pPr>
              <w:spacing w:line="240" w:lineRule="auto"/>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2-4</w:t>
            </w:r>
            <w:r>
              <w:rPr>
                <w:rFonts w:hint="default" w:ascii="Times New Roman" w:hAnsi="Times New Roman" w:cs="Times New Roman"/>
                <w:b/>
                <w:bCs/>
                <w:color w:val="auto"/>
                <w:sz w:val="24"/>
                <w:szCs w:val="24"/>
              </w:rPr>
              <w:t xml:space="preserve">   项目产品方案</w:t>
            </w:r>
          </w:p>
          <w:tbl>
            <w:tblPr>
              <w:tblStyle w:val="33"/>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014"/>
              <w:gridCol w:w="2887"/>
              <w:gridCol w:w="2311"/>
              <w:gridCol w:w="2437"/>
            </w:tblGrid>
            <w:tr w14:paraId="079ABD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1014" w:type="dxa"/>
                  <w:tcBorders>
                    <w:tl2br w:val="nil"/>
                    <w:tr2bl w:val="nil"/>
                  </w:tcBorders>
                  <w:noWrap w:val="0"/>
                  <w:vAlign w:val="center"/>
                </w:tcPr>
                <w:p w14:paraId="0086CEB4">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序号</w:t>
                  </w:r>
                </w:p>
              </w:tc>
              <w:tc>
                <w:tcPr>
                  <w:tcW w:w="2887" w:type="dxa"/>
                  <w:tcBorders>
                    <w:tl2br w:val="nil"/>
                    <w:tr2bl w:val="nil"/>
                  </w:tcBorders>
                  <w:noWrap w:val="0"/>
                  <w:vAlign w:val="center"/>
                </w:tcPr>
                <w:p w14:paraId="2D371B6D">
                  <w:pPr>
                    <w:jc w:val="center"/>
                    <w:rPr>
                      <w:rFonts w:hint="eastAsia" w:ascii="Times New Roman" w:hAnsi="Times New Roman" w:eastAsia="宋体" w:cs="Times New Roman"/>
                      <w:color w:val="000000"/>
                      <w:szCs w:val="21"/>
                      <w:lang w:eastAsia="zh-CN"/>
                    </w:rPr>
                  </w:pPr>
                  <w:r>
                    <w:rPr>
                      <w:rFonts w:hint="default" w:ascii="Times New Roman" w:hAnsi="Times New Roman" w:cs="Times New Roman"/>
                      <w:color w:val="000000"/>
                      <w:szCs w:val="21"/>
                    </w:rPr>
                    <w:t>产品</w:t>
                  </w:r>
                  <w:r>
                    <w:rPr>
                      <w:rFonts w:hint="eastAsia" w:ascii="Times New Roman" w:hAnsi="Times New Roman" w:cs="Times New Roman"/>
                      <w:color w:val="000000"/>
                      <w:szCs w:val="21"/>
                      <w:lang w:eastAsia="zh-CN"/>
                    </w:rPr>
                    <w:t>名称</w:t>
                  </w:r>
                </w:p>
              </w:tc>
              <w:tc>
                <w:tcPr>
                  <w:tcW w:w="2311" w:type="dxa"/>
                  <w:tcBorders>
                    <w:tl2br w:val="nil"/>
                    <w:tr2bl w:val="nil"/>
                  </w:tcBorders>
                  <w:noWrap w:val="0"/>
                  <w:vAlign w:val="center"/>
                </w:tcPr>
                <w:p w14:paraId="4AD1A18E">
                  <w:pPr>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设计能力</w:t>
                  </w:r>
                </w:p>
              </w:tc>
              <w:tc>
                <w:tcPr>
                  <w:tcW w:w="2437" w:type="dxa"/>
                  <w:tcBorders>
                    <w:tl2br w:val="nil"/>
                    <w:tr2bl w:val="nil"/>
                  </w:tcBorders>
                  <w:noWrap w:val="0"/>
                  <w:vAlign w:val="center"/>
                </w:tcPr>
                <w:p w14:paraId="7928DAA2">
                  <w:pPr>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实际生产能力</w:t>
                  </w:r>
                </w:p>
              </w:tc>
            </w:tr>
            <w:tr w14:paraId="2327EC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99" w:hRule="atLeast"/>
                <w:jc w:val="center"/>
              </w:trPr>
              <w:tc>
                <w:tcPr>
                  <w:tcW w:w="1014" w:type="dxa"/>
                  <w:tcBorders>
                    <w:tl2br w:val="nil"/>
                    <w:tr2bl w:val="nil"/>
                  </w:tcBorders>
                  <w:noWrap w:val="0"/>
                  <w:vAlign w:val="center"/>
                </w:tcPr>
                <w:p w14:paraId="3728382A">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1</w:t>
                  </w:r>
                </w:p>
              </w:tc>
              <w:tc>
                <w:tcPr>
                  <w:tcW w:w="2887" w:type="dxa"/>
                  <w:tcBorders>
                    <w:tl2br w:val="nil"/>
                    <w:tr2bl w:val="nil"/>
                  </w:tcBorders>
                  <w:noWrap w:val="0"/>
                  <w:vAlign w:val="center"/>
                </w:tcPr>
                <w:p w14:paraId="043B4EBE">
                  <w:pPr>
                    <w:jc w:val="center"/>
                    <w:rPr>
                      <w:rFonts w:hint="default" w:ascii="Times New Roman" w:hAnsi="Times New Roman" w:eastAsia="宋体" w:cs="Times New Roman"/>
                      <w:color w:val="000000"/>
                      <w:szCs w:val="21"/>
                      <w:lang w:val="en-US" w:eastAsia="zh-CN"/>
                    </w:rPr>
                  </w:pPr>
                  <w:r>
                    <w:rPr>
                      <w:rFonts w:hAnsi="宋体"/>
                      <w:color w:val="000000"/>
                      <w:kern w:val="0"/>
                      <w:sz w:val="24"/>
                    </w:rPr>
                    <w:t xml:space="preserve">工业粗油脂 </w:t>
                  </w:r>
                </w:p>
              </w:tc>
              <w:tc>
                <w:tcPr>
                  <w:tcW w:w="2311" w:type="dxa"/>
                  <w:tcBorders>
                    <w:tl2br w:val="nil"/>
                    <w:tr2bl w:val="nil"/>
                  </w:tcBorders>
                  <w:noWrap w:val="0"/>
                  <w:vAlign w:val="center"/>
                </w:tcPr>
                <w:p w14:paraId="07EAC5A6">
                  <w:pPr>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862吨/年</w:t>
                  </w:r>
                </w:p>
              </w:tc>
              <w:tc>
                <w:tcPr>
                  <w:tcW w:w="2437" w:type="dxa"/>
                  <w:tcBorders>
                    <w:tl2br w:val="nil"/>
                    <w:tr2bl w:val="nil"/>
                  </w:tcBorders>
                  <w:noWrap w:val="0"/>
                  <w:vAlign w:val="center"/>
                </w:tcPr>
                <w:p w14:paraId="3B04EE82">
                  <w:pPr>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862 吨/年</w:t>
                  </w:r>
                </w:p>
              </w:tc>
            </w:tr>
          </w:tbl>
          <w:p w14:paraId="6740CC22">
            <w:pPr>
              <w:pStyle w:val="5"/>
              <w:numPr>
                <w:ilvl w:val="2"/>
                <w:numId w:val="0"/>
              </w:numPr>
              <w:tabs>
                <w:tab w:val="clear" w:pos="420"/>
              </w:tabs>
              <w:bidi w:val="0"/>
              <w:rPr>
                <w:rFonts w:hint="eastAsia"/>
                <w:lang w:val="en-US" w:eastAsia="zh-CN"/>
              </w:rPr>
            </w:pPr>
          </w:p>
          <w:p w14:paraId="3129A790">
            <w:pPr>
              <w:pStyle w:val="58"/>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水平衡图</w:t>
            </w:r>
          </w:p>
          <w:p w14:paraId="64DDF35E">
            <w:pPr>
              <w:spacing w:before="48" w:beforeLines="20" w:line="360" w:lineRule="auto"/>
              <w:ind w:firstLine="480" w:firstLineChars="200"/>
              <w:rPr>
                <w:rFonts w:hint="eastAsia" w:ascii="Times New Roman" w:hAnsi="Times New Roman" w:cs="Times New Roman"/>
                <w:color w:val="auto"/>
                <w:sz w:val="24"/>
                <w:szCs w:val="24"/>
                <w:lang w:eastAsia="zh-CN"/>
              </w:rPr>
            </w:pPr>
            <w:r>
              <w:rPr>
                <w:rFonts w:hint="default" w:ascii="Times New Roman" w:hAnsi="Times New Roman" w:cs="Times New Roman"/>
                <w:color w:val="auto"/>
                <w:sz w:val="24"/>
                <w:szCs w:val="24"/>
              </w:rPr>
              <w:t>项目水量平衡情况见图2-1</w:t>
            </w:r>
            <w:r>
              <w:rPr>
                <w:rFonts w:hint="eastAsia" w:ascii="Times New Roman" w:hAnsi="Times New Roman" w:cs="Times New Roman"/>
                <w:color w:val="auto"/>
                <w:sz w:val="24"/>
                <w:szCs w:val="24"/>
                <w:lang w:eastAsia="zh-CN"/>
              </w:rPr>
              <w:t>。</w:t>
            </w:r>
          </w:p>
          <w:p w14:paraId="4459BC1B">
            <w:pPr>
              <w:pStyle w:val="5"/>
              <w:numPr>
                <w:ilvl w:val="2"/>
                <w:numId w:val="0"/>
              </w:numPr>
              <w:tabs>
                <w:tab w:val="clear" w:pos="420"/>
              </w:tabs>
              <w:bidi w:val="0"/>
              <w:jc w:val="center"/>
              <w:rPr>
                <w:rFonts w:hint="eastAsia"/>
                <w:lang w:val="en-US" w:eastAsia="zh-CN"/>
              </w:rPr>
            </w:pPr>
            <w:r>
              <w:drawing>
                <wp:inline distT="0" distB="0" distL="114300" distR="114300">
                  <wp:extent cx="5698490" cy="3634105"/>
                  <wp:effectExtent l="0" t="0" r="1651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698490" cy="3634105"/>
                          </a:xfrm>
                          <a:prstGeom prst="rect">
                            <a:avLst/>
                          </a:prstGeom>
                          <a:noFill/>
                          <a:ln>
                            <a:noFill/>
                          </a:ln>
                        </pic:spPr>
                      </pic:pic>
                    </a:graphicData>
                  </a:graphic>
                </wp:inline>
              </w:drawing>
            </w:r>
          </w:p>
          <w:p w14:paraId="6F6F8D3B">
            <w:pPr>
              <w:spacing w:line="240" w:lineRule="auto"/>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图</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-1  本项目水平衡图  </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单位</w:t>
            </w:r>
            <w:r>
              <w:rPr>
                <w:rFonts w:hint="default" w:ascii="Times New Roman" w:hAnsi="Times New Roman" w:cs="Times New Roman"/>
                <w:b/>
                <w:bCs/>
                <w:color w:val="auto"/>
                <w:sz w:val="24"/>
                <w:szCs w:val="24"/>
                <w:vertAlign w:val="superscript"/>
                <w:lang w:val="en-US" w:eastAsia="zh-CN"/>
              </w:rPr>
              <w:t>3</w:t>
            </w:r>
            <w:r>
              <w:rPr>
                <w:rFonts w:hint="default" w:ascii="Times New Roman" w:hAnsi="Times New Roman" w:cs="Times New Roman"/>
                <w:b/>
                <w:bCs/>
                <w:color w:val="auto"/>
                <w:sz w:val="24"/>
                <w:szCs w:val="24"/>
                <w:lang w:val="en-US" w:eastAsia="zh-CN"/>
              </w:rPr>
              <w:t>/d</w:t>
            </w:r>
          </w:p>
          <w:p w14:paraId="519668EB">
            <w:pPr>
              <w:pStyle w:val="5"/>
              <w:numPr>
                <w:ilvl w:val="2"/>
                <w:numId w:val="0"/>
              </w:numPr>
              <w:tabs>
                <w:tab w:val="clear" w:pos="420"/>
              </w:tabs>
              <w:bidi w:val="0"/>
              <w:rPr>
                <w:rFonts w:hint="eastAsia"/>
                <w:lang w:val="en-US" w:eastAsia="zh-CN"/>
              </w:rPr>
            </w:pPr>
          </w:p>
          <w:p w14:paraId="6338FF2C">
            <w:pPr>
              <w:pStyle w:val="5"/>
              <w:numPr>
                <w:ilvl w:val="2"/>
                <w:numId w:val="0"/>
              </w:numPr>
              <w:tabs>
                <w:tab w:val="clear" w:pos="420"/>
              </w:tabs>
              <w:bidi w:val="0"/>
              <w:rPr>
                <w:rFonts w:hint="eastAsia"/>
              </w:rPr>
            </w:pPr>
            <w:r>
              <w:rPr>
                <w:rFonts w:hint="eastAsia"/>
                <w:lang w:val="en-US" w:eastAsia="zh-CN"/>
              </w:rPr>
              <w:t>3、</w:t>
            </w:r>
            <w:r>
              <w:rPr>
                <w:rFonts w:hint="eastAsia"/>
              </w:rPr>
              <w:t>主要工艺流程及产物环节（附处理工艺流程图，标出产污节点）</w:t>
            </w:r>
          </w:p>
          <w:p w14:paraId="23DEB8FC">
            <w:pPr>
              <w:adjustRightInd w:val="0"/>
              <w:snapToGrid w:val="0"/>
              <w:spacing w:line="360" w:lineRule="auto"/>
              <w:ind w:firstLine="480" w:firstLineChars="200"/>
              <w:rPr>
                <w:bCs/>
                <w:sz w:val="24"/>
              </w:rPr>
            </w:pPr>
            <w:r>
              <w:rPr>
                <w:rFonts w:hint="eastAsia"/>
                <w:bCs/>
                <w:sz w:val="24"/>
              </w:rPr>
              <w:t>运营期工艺流程包括：1、收运系统；2、餐厨垃圾处理系统；3、沼气净化利用系统；4、污水处理系统。本项目总体工艺及各处理系统工艺流程如下。</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5725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3" w:type="dxa"/>
                </w:tcPr>
                <w:p w14:paraId="6C0A031A">
                  <w:pPr>
                    <w:keepNext/>
                    <w:jc w:val="center"/>
                  </w:pPr>
                  <w:r>
                    <w:object>
                      <v:shape id="_x0000_i1025" o:spt="75" type="#_x0000_t75" style="height:135.95pt;width:405.35pt;" o:ole="t" filled="f" o:preferrelative="t" stroked="f" coordsize="21600,21600">
                        <v:path/>
                        <v:fill on="f" focussize="0,0"/>
                        <v:stroke on="f" joinstyle="miter"/>
                        <v:imagedata r:id="rId18" o:title=""/>
                        <o:lock v:ext="edit" aspectratio="t"/>
                        <w10:wrap type="none"/>
                        <w10:anchorlock/>
                      </v:shape>
                      <o:OLEObject Type="Embed" ProgID="Visio.Drawing.11" ShapeID="_x0000_i1025" DrawAspect="Content" ObjectID="_1468075725" r:id="rId17">
                        <o:LockedField>false</o:LockedField>
                      </o:OLEObject>
                    </w:object>
                  </w:r>
                </w:p>
              </w:tc>
            </w:tr>
          </w:tbl>
          <w:p w14:paraId="3F4DE289">
            <w:pPr>
              <w:pStyle w:val="10"/>
              <w:jc w:val="center"/>
            </w:pPr>
            <w:r>
              <w:rPr>
                <w:rFonts w:hint="eastAsia"/>
              </w:rPr>
              <w:t xml:space="preserve">图 </w:t>
            </w:r>
            <w:r>
              <w:rPr>
                <w:rFonts w:hint="eastAsia"/>
                <w:lang w:val="en-US" w:eastAsia="zh-CN"/>
              </w:rPr>
              <w:t>3-1</w:t>
            </w:r>
            <w:r>
              <w:rPr>
                <w:rFonts w:hint="eastAsia"/>
              </w:rPr>
              <w:t xml:space="preserve"> 本项目总体工艺流程及产排污示意图</w:t>
            </w:r>
          </w:p>
          <w:p w14:paraId="0B5882CA">
            <w:pPr>
              <w:spacing w:before="120" w:beforeLines="50" w:line="360" w:lineRule="auto"/>
              <w:ind w:firstLine="482" w:firstLineChars="200"/>
              <w:rPr>
                <w:b/>
                <w:sz w:val="24"/>
              </w:rPr>
            </w:pPr>
            <w:r>
              <w:rPr>
                <w:rFonts w:hint="eastAsia"/>
                <w:b/>
                <w:sz w:val="24"/>
              </w:rPr>
              <w:t>1、收运系统工艺流程及产污环节</w:t>
            </w:r>
          </w:p>
          <w:p w14:paraId="2007D3BF">
            <w:pPr>
              <w:spacing w:line="360" w:lineRule="auto"/>
              <w:ind w:firstLine="480" w:firstLineChars="200"/>
            </w:pPr>
            <w:r>
              <w:rPr>
                <w:rFonts w:hint="eastAsia"/>
                <w:sz w:val="24"/>
              </w:rPr>
              <w:t>本项目餐厨垃圾收运系统配备餐厨垃圾收运车辆（5吨密闭式运输车）、地沟油收运车辆（5吨密闭式运输车）及专用收集桶，餐厨垃圾收运工艺及产污环节如下图所示：</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635F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3" w:type="dxa"/>
                  <w:vAlign w:val="center"/>
                </w:tcPr>
                <w:p w14:paraId="0B6CAE16">
                  <w:pPr>
                    <w:keepNext/>
                    <w:jc w:val="center"/>
                  </w:pPr>
                  <w:r>
                    <w:object>
                      <v:shape id="_x0000_i1026" o:spt="75" type="#_x0000_t75" style="height:156.15pt;width:315.15pt;" o:ole="t" filled="f" o:preferrelative="t" stroked="f" coordsize="21600,21600">
                        <v:path/>
                        <v:fill on="f" focussize="0,0"/>
                        <v:stroke on="f" joinstyle="miter"/>
                        <v:imagedata r:id="rId20" o:title=""/>
                        <o:lock v:ext="edit" aspectratio="t"/>
                        <w10:wrap type="none"/>
                        <w10:anchorlock/>
                      </v:shape>
                      <o:OLEObject Type="Embed" ProgID="Visio.Drawing.11" ShapeID="_x0000_i1026" DrawAspect="Content" ObjectID="_1468075726" r:id="rId19">
                        <o:LockedField>false</o:LockedField>
                      </o:OLEObject>
                    </w:object>
                  </w:r>
                </w:p>
              </w:tc>
            </w:tr>
          </w:tbl>
          <w:p w14:paraId="3F1F2102">
            <w:pPr>
              <w:pStyle w:val="10"/>
              <w:jc w:val="center"/>
            </w:pPr>
            <w:r>
              <w:rPr>
                <w:rFonts w:hint="eastAsia"/>
              </w:rPr>
              <w:t xml:space="preserve">图 </w:t>
            </w:r>
            <w:r>
              <w:rPr>
                <w:rFonts w:hint="eastAsia"/>
                <w:lang w:val="en-US" w:eastAsia="zh-CN"/>
              </w:rPr>
              <w:t>3-2</w:t>
            </w:r>
            <w:r>
              <w:rPr>
                <w:rFonts w:hint="eastAsia"/>
              </w:rPr>
              <w:t xml:space="preserve"> 本项目收运工艺流程及产排污示意图</w:t>
            </w:r>
          </w:p>
          <w:p w14:paraId="6AE7AE33">
            <w:pPr>
              <w:spacing w:line="360" w:lineRule="auto"/>
              <w:ind w:firstLine="482" w:firstLineChars="200"/>
              <w:rPr>
                <w:b/>
                <w:sz w:val="24"/>
              </w:rPr>
            </w:pPr>
            <w:r>
              <w:rPr>
                <w:rFonts w:hint="eastAsia"/>
                <w:b/>
                <w:sz w:val="24"/>
              </w:rPr>
              <w:t>工艺简述：</w:t>
            </w:r>
          </w:p>
          <w:p w14:paraId="5512D376">
            <w:pPr>
              <w:spacing w:line="360" w:lineRule="auto"/>
              <w:ind w:firstLine="480" w:firstLineChars="200"/>
              <w:rPr>
                <w:sz w:val="24"/>
              </w:rPr>
            </w:pPr>
            <w:r>
              <w:rPr>
                <w:rFonts w:hint="eastAsia"/>
                <w:sz w:val="24"/>
              </w:rPr>
              <w:t>各餐饮企业、学校、企事业单位和居民产生的餐厨垃圾、地沟油分别通过密闭收集桶收集，收运人员操作车辆将收集桶提升至车厢顶部，再通过翻料机将餐厨垃圾或地沟油倒入车厢内密闭贮存。收运车辆按照规定的运输路线驶入厂区内，经计量后驶入前处理车间卸料，卸料后的对车辆进行冲洗。</w:t>
            </w:r>
          </w:p>
          <w:p w14:paraId="4E473626">
            <w:pPr>
              <w:spacing w:line="360" w:lineRule="auto"/>
              <w:ind w:firstLine="482" w:firstLineChars="200"/>
              <w:rPr>
                <w:b/>
                <w:sz w:val="24"/>
              </w:rPr>
            </w:pPr>
            <w:r>
              <w:rPr>
                <w:rFonts w:hint="eastAsia"/>
                <w:b/>
                <w:sz w:val="24"/>
              </w:rPr>
              <w:t>2、餐厨垃圾处理系统工艺流程及产污环节</w:t>
            </w:r>
          </w:p>
          <w:p w14:paraId="1CF5394E">
            <w:pPr>
              <w:spacing w:line="360" w:lineRule="auto"/>
              <w:ind w:firstLine="480" w:firstLineChars="200"/>
              <w:rPr>
                <w:sz w:val="24"/>
              </w:rPr>
            </w:pPr>
            <w:r>
              <w:rPr>
                <w:rFonts w:hint="eastAsia"/>
                <w:sz w:val="24"/>
              </w:rPr>
              <w:t>本项目采用“预处理+厌氧发酵”处理技术，餐厨垃圾分离出的油脂制成粗油脂外售，餐厨垃圾可降解的有机物进入厌氧发酵系统生产沼气，餐厨垃圾处理工艺及产污环节如下图所示。</w:t>
            </w:r>
          </w:p>
          <w:p w14:paraId="0278B613">
            <w:pPr>
              <w:spacing w:line="360" w:lineRule="auto"/>
              <w:ind w:firstLine="482" w:firstLineChars="200"/>
              <w:rPr>
                <w:rFonts w:hint="eastAsia"/>
                <w:b/>
                <w:sz w:val="24"/>
              </w:rPr>
            </w:pPr>
          </w:p>
          <w:p w14:paraId="06A43597">
            <w:pPr>
              <w:spacing w:line="360" w:lineRule="auto"/>
              <w:ind w:firstLine="482" w:firstLineChars="200"/>
              <w:rPr>
                <w:b/>
                <w:sz w:val="24"/>
              </w:rPr>
            </w:pPr>
            <w:r>
              <w:rPr>
                <w:rFonts w:hint="eastAsia"/>
                <w:b/>
                <w:sz w:val="24"/>
              </w:rPr>
              <w:t>（1）预处理系统工艺流程及产污环节</w:t>
            </w:r>
          </w:p>
          <w:p w14:paraId="40CDB1BB">
            <w:pPr>
              <w:spacing w:line="360" w:lineRule="auto"/>
              <w:ind w:firstLine="480" w:firstLineChars="200"/>
              <w:rPr>
                <w:sz w:val="24"/>
              </w:rPr>
            </w:pPr>
            <w:r>
              <w:rPr>
                <w:rFonts w:hint="eastAsia"/>
                <w:sz w:val="24"/>
              </w:rPr>
              <w:t>本项目餐厨垃圾预处理系统工艺流程及产污环节如下：</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7309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3" w:type="dxa"/>
                  <w:vAlign w:val="center"/>
                </w:tcPr>
                <w:p w14:paraId="0D96F38B">
                  <w:pPr>
                    <w:keepNext/>
                    <w:jc w:val="center"/>
                  </w:pPr>
                  <w:r>
                    <w:object>
                      <v:shape id="_x0000_i1027" o:spt="75" type="#_x0000_t75" style="height:226.1pt;width:306.45pt;" o:ole="t" filled="f" o:preferrelative="t" stroked="f" coordsize="21600,21600">
                        <v:path/>
                        <v:fill on="f" focussize="0,0"/>
                        <v:stroke on="f" joinstyle="miter"/>
                        <v:imagedata r:id="rId22" o:title=""/>
                        <o:lock v:ext="edit" aspectratio="t"/>
                        <w10:wrap type="none"/>
                        <w10:anchorlock/>
                      </v:shape>
                      <o:OLEObject Type="Embed" ProgID="Visio.Drawing.11" ShapeID="_x0000_i1027" DrawAspect="Content" ObjectID="_1468075727" r:id="rId21">
                        <o:LockedField>false</o:LockedField>
                      </o:OLEObject>
                    </w:object>
                  </w:r>
                </w:p>
              </w:tc>
            </w:tr>
          </w:tbl>
          <w:p w14:paraId="0DE73008">
            <w:pPr>
              <w:pStyle w:val="10"/>
              <w:jc w:val="center"/>
            </w:pPr>
            <w:r>
              <w:rPr>
                <w:rFonts w:hint="eastAsia"/>
              </w:rPr>
              <w:t xml:space="preserve">图 </w:t>
            </w:r>
            <w:r>
              <w:rPr>
                <w:rFonts w:hint="eastAsia"/>
                <w:lang w:val="en-US" w:eastAsia="zh-CN"/>
              </w:rPr>
              <w:t>3-3</w:t>
            </w:r>
            <w:r>
              <w:rPr>
                <w:rFonts w:hint="eastAsia"/>
              </w:rPr>
              <w:t xml:space="preserve"> 餐厨垃圾预处理工艺流程及产污节点图</w:t>
            </w:r>
          </w:p>
          <w:p w14:paraId="43D54410">
            <w:pPr>
              <w:pStyle w:val="81"/>
              <w:adjustRightInd w:val="0"/>
              <w:snapToGrid w:val="0"/>
              <w:ind w:firstLine="482"/>
              <w:jc w:val="both"/>
              <w:rPr>
                <w:b/>
                <w:bCs/>
              </w:rPr>
            </w:pPr>
            <w:r>
              <w:rPr>
                <w:rFonts w:hint="eastAsia"/>
                <w:b/>
                <w:bCs/>
              </w:rPr>
              <w:t>工艺简述：</w:t>
            </w:r>
          </w:p>
          <w:p w14:paraId="67A0E2A4">
            <w:pPr>
              <w:pStyle w:val="81"/>
              <w:numPr>
                <w:ilvl w:val="0"/>
                <w:numId w:val="6"/>
              </w:numPr>
              <w:adjustRightInd w:val="0"/>
              <w:snapToGrid w:val="0"/>
              <w:spacing w:line="360" w:lineRule="auto"/>
              <w:ind w:left="0" w:firstLine="480"/>
              <w:jc w:val="both"/>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餐厨垃圾接料：餐厨垃圾（含厨余垃圾、地沟油）由收运车辆将物料计量过磅后直接卸入接料斗内。</w:t>
            </w:r>
          </w:p>
          <w:p w14:paraId="4B3F40D0">
            <w:pPr>
              <w:pStyle w:val="81"/>
              <w:numPr>
                <w:ilvl w:val="0"/>
                <w:numId w:val="6"/>
              </w:numPr>
              <w:adjustRightInd w:val="0"/>
              <w:snapToGrid w:val="0"/>
              <w:spacing w:line="360" w:lineRule="auto"/>
              <w:ind w:left="0" w:firstLine="480"/>
              <w:jc w:val="both"/>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大物质分选：物料经畚斗链条传动提升方式进行物料提升至撕碎机，提升机提升线速度≤1.8m/s。撕碎机采用双辊传动方式对物料进行剪切破碎，剪切宽度≤30mm，传动电机由两台18.5Kw带减速机组成。撕碎后的物料由密闭输送带输送至水洗制浆一体机进行制浆粉碎。</w:t>
            </w:r>
          </w:p>
          <w:p w14:paraId="54A657D5">
            <w:pPr>
              <w:pStyle w:val="81"/>
              <w:numPr>
                <w:ilvl w:val="0"/>
                <w:numId w:val="6"/>
              </w:numPr>
              <w:adjustRightInd w:val="0"/>
              <w:snapToGrid w:val="0"/>
              <w:spacing w:line="360" w:lineRule="auto"/>
              <w:ind w:left="0" w:firstLine="480"/>
              <w:jc w:val="both"/>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破碎制浆：水洗制浆一体机是针对餐厨与厨余混合处理研发的具有专利的专用设备，其功能是物料制浆过程中注入一定比例的回流水，使物料中的有机物和物料中的残留油脂充分洗涤，达到资源回收利率最大化，提高经济效益。制浆细度控制在≤10mm，无机垃圾通过旋转滚筒轴向运动排出机内作为无机废弃物收集外运至附近垃圾填埋场进行无害化处理。</w:t>
            </w:r>
          </w:p>
          <w:p w14:paraId="0C847247">
            <w:pPr>
              <w:pStyle w:val="81"/>
              <w:numPr>
                <w:ilvl w:val="0"/>
                <w:numId w:val="6"/>
              </w:numPr>
              <w:adjustRightInd w:val="0"/>
              <w:snapToGrid w:val="0"/>
              <w:spacing w:line="360" w:lineRule="auto"/>
              <w:ind w:left="0" w:firstLine="480"/>
              <w:jc w:val="both"/>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湿热水解：采用外壁加热方式对制浆后的浆料进行加热处理，加热过程中带有搅拌功能使物料加热均匀，当物料温度上升至80°C时，使物料中含有的餐厨油脂充分析出、游离起到餐厨油与其它物料充分分离的目的，保证餐厨废油回收率。加热后的浆料用螺杆泵提升进入过滤机实现固、液分离。</w:t>
            </w:r>
          </w:p>
          <w:p w14:paraId="16DF207F">
            <w:pPr>
              <w:pStyle w:val="81"/>
              <w:numPr>
                <w:ilvl w:val="0"/>
                <w:numId w:val="6"/>
              </w:numPr>
              <w:adjustRightInd w:val="0"/>
              <w:snapToGrid w:val="0"/>
              <w:spacing w:line="360" w:lineRule="auto"/>
              <w:ind w:left="0" w:firstLine="480"/>
              <w:jc w:val="both"/>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固液分离及三相分离：采用特制的固液分离专用设备对加热后的浆料进行二相分离，利用离心与挤压双重作用将浆料中的水、油与有机固形物彻底分离，分离出的固形有机物含水率≤68%。油水中的有机物含量≤5%，减少后续三相分离机设备的磨损，延长三相分离机生产寿命，减少设备维修费用。分离出的固形有机物进入暂存箱收集暂存，作为有机肥料的生产原料进行资源化利用。再将固、液分离出的料液进入三相分离系统，分离系统采用卧式高速螺旋离心机对油、水、固混合物进行三相分离，该机是餐厨垃圾处理最关键的技术设备，转速≥3500r/min，分离产量≥5吨/h，油脂分离效率≥98.7%，油脂含水杂≤2%，废水中油脂含量≤0.3%，分离出的有机固形物含水量≤70%。分离出的油相作为产品储存在油脂储存罐中；水相浆料进行下一步的厌氧发酵继续处理；固相有机物进入暂存箱收集暂存，作为有机肥料的生产原料进行资源化利用。</w:t>
            </w:r>
          </w:p>
          <w:p w14:paraId="6BA9BF5E">
            <w:pPr>
              <w:pStyle w:val="81"/>
              <w:adjustRightInd w:val="0"/>
              <w:snapToGrid w:val="0"/>
              <w:spacing w:line="360" w:lineRule="auto"/>
              <w:ind w:firstLine="48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1"/>
                <w:lang w:val="en-US" w:eastAsia="zh-CN" w:bidi="ar-SA"/>
              </w:rPr>
              <w:t>本项目前处理车间各设备均为密闭设备，主要废气排放点为接收单元卸料口、大物质分选单元杂质出料口、破碎制浆单元杂质出料口、温热水解单元呼吸阀、三相分离单元有机固渣出料口。本项目拟对餐厨（厨余）进料区域采用生物喷雾除臭并与餐厨垃圾处理系统负压抽气系统联合使用，对各设备处加装集气罩收集臭气，设置二道封闭措施，车间室内采用负压运行，臭气由风机引至碱洗喷淋塔+生物吸附床处理后外排。污水站全密闭设计，由于本项目污水处理设计工艺为厌氧工艺，仅</w:t>
            </w:r>
            <w:r>
              <w:rPr>
                <w:rFonts w:hint="eastAsia" w:ascii="Times New Roman" w:hAnsi="Times New Roman" w:eastAsia="宋体" w:cs="Times New Roman"/>
                <w:kern w:val="2"/>
                <w:sz w:val="24"/>
                <w:szCs w:val="24"/>
                <w:lang w:val="en-US" w:eastAsia="zh-CN" w:bidi="ar-SA"/>
              </w:rPr>
              <w:t>缓慢产生少量臭气，要求在污水处理站附近增加绿植覆盖处理。</w:t>
            </w:r>
          </w:p>
          <w:p w14:paraId="67567CA3">
            <w:pPr>
              <w:pStyle w:val="81"/>
              <w:adjustRightInd w:val="0"/>
              <w:snapToGrid w:val="0"/>
              <w:ind w:firstLine="482"/>
              <w:jc w:val="both"/>
              <w:rPr>
                <w:b/>
                <w:bCs/>
                <w:sz w:val="24"/>
                <w:szCs w:val="24"/>
              </w:rPr>
            </w:pPr>
            <w:r>
              <w:rPr>
                <w:rFonts w:hint="eastAsia"/>
                <w:b/>
                <w:bCs/>
                <w:sz w:val="24"/>
                <w:szCs w:val="24"/>
              </w:rPr>
              <w:t>（2）厌氧发酵工艺流程及产污环节</w:t>
            </w:r>
          </w:p>
          <w:p w14:paraId="6A256AA4">
            <w:pPr>
              <w:pStyle w:val="81"/>
              <w:adjustRightInd w:val="0"/>
              <w:snapToGrid w:val="0"/>
              <w:ind w:firstLine="480"/>
              <w:jc w:val="both"/>
              <w:rPr>
                <w:bCs/>
                <w:sz w:val="24"/>
                <w:szCs w:val="24"/>
              </w:rPr>
            </w:pPr>
            <w:r>
              <w:rPr>
                <w:rFonts w:hint="eastAsia"/>
                <w:bCs/>
                <w:sz w:val="24"/>
                <w:szCs w:val="24"/>
              </w:rPr>
              <w:t>本项目餐厨垃圾厌氧发酵系统工艺流程及产污环节如下：</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11F6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3" w:type="dxa"/>
                  <w:vAlign w:val="center"/>
                </w:tcPr>
                <w:p w14:paraId="3FB4B0FE">
                  <w:pPr>
                    <w:pStyle w:val="81"/>
                    <w:keepNext/>
                    <w:adjustRightInd w:val="0"/>
                    <w:snapToGrid w:val="0"/>
                    <w:spacing w:line="240" w:lineRule="auto"/>
                    <w:ind w:firstLine="0" w:firstLineChars="0"/>
                    <w:rPr>
                      <w:bCs/>
                      <w:sz w:val="21"/>
                    </w:rPr>
                  </w:pPr>
                  <w:r>
                    <w:object>
                      <v:shape id="_x0000_i1028" o:spt="75" type="#_x0000_t75" style="height:199.8pt;width:345.65pt;" o:ole="t" filled="f" o:preferrelative="t" stroked="f" coordsize="21600,21600">
                        <v:path/>
                        <v:fill on="f" focussize="0,0"/>
                        <v:stroke on="f" joinstyle="miter"/>
                        <v:imagedata r:id="rId24" o:title=""/>
                        <o:lock v:ext="edit" aspectratio="t"/>
                        <w10:wrap type="none"/>
                        <w10:anchorlock/>
                      </v:shape>
                      <o:OLEObject Type="Embed" ProgID="Visio.Drawing.11" ShapeID="_x0000_i1028" DrawAspect="Content" ObjectID="_1468075728" r:id="rId23">
                        <o:LockedField>false</o:LockedField>
                      </o:OLEObject>
                    </w:object>
                  </w:r>
                </w:p>
              </w:tc>
            </w:tr>
          </w:tbl>
          <w:p w14:paraId="6CB7459B">
            <w:pPr>
              <w:pStyle w:val="10"/>
              <w:jc w:val="center"/>
            </w:pPr>
            <w:r>
              <w:rPr>
                <w:rFonts w:hint="eastAsia"/>
              </w:rPr>
              <w:t xml:space="preserve">图 </w:t>
            </w:r>
            <w:r>
              <w:rPr>
                <w:rFonts w:hint="eastAsia"/>
                <w:lang w:val="en-US" w:eastAsia="zh-CN"/>
              </w:rPr>
              <w:t>3-4</w:t>
            </w:r>
            <w:r>
              <w:rPr>
                <w:rFonts w:hint="eastAsia"/>
              </w:rPr>
              <w:t xml:space="preserve"> 餐厨垃圾厌氧发酵工艺流程及产污节点图</w:t>
            </w:r>
          </w:p>
          <w:p w14:paraId="1AC75C3D">
            <w:pPr>
              <w:pStyle w:val="81"/>
              <w:adjustRightInd w:val="0"/>
              <w:snapToGrid w:val="0"/>
              <w:spacing w:before="120" w:beforeLines="50"/>
              <w:ind w:firstLine="482"/>
              <w:jc w:val="left"/>
              <w:rPr>
                <w:b/>
                <w:bCs/>
                <w:sz w:val="24"/>
                <w:szCs w:val="24"/>
              </w:rPr>
            </w:pPr>
            <w:r>
              <w:rPr>
                <w:rFonts w:hint="eastAsia"/>
                <w:b/>
                <w:bCs/>
                <w:sz w:val="24"/>
                <w:szCs w:val="24"/>
              </w:rPr>
              <w:t>工艺简述：</w:t>
            </w:r>
          </w:p>
          <w:p w14:paraId="55ECD645">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调节系统：预处理餐厨浆料直接泵入调节罐，本项目设置调节罐，设计来料温度70℃左右，通过冷却水塔降+内置冷却盘管的方式降温至37℃左右。由于调节（水解酸化）温度35~40℃为最宜，有机垃圾在调节罐中转化为有机酸，同时通过搅拌匀质，使物料的温度、pH值达到均衡。再通过发酵罐进料及搅拌设计，保证发酵罐内保持中性环境，避免酸化，产气过程顺利进行。</w:t>
            </w:r>
          </w:p>
          <w:p w14:paraId="457483A6">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厌氧产气：经过调节系统后产生的有机酸类物质通过管道输送进入发酵罐中，在适当的温度，pH值等条件下，在产甲烷菌类的作用下进一步降低分子数最终转化成为甲烷。</w:t>
            </w:r>
          </w:p>
          <w:p w14:paraId="26DDFC98">
            <w:pPr>
              <w:pStyle w:val="81"/>
              <w:adjustRightInd w:val="0"/>
              <w:snapToGrid w:val="0"/>
              <w:spacing w:line="360" w:lineRule="auto"/>
              <w:ind w:firstLine="480"/>
              <w:jc w:val="both"/>
              <w:rPr>
                <w:bCs/>
                <w:sz w:val="24"/>
                <w:szCs w:val="24"/>
              </w:rPr>
            </w:pPr>
            <w:r>
              <w:rPr>
                <w:bCs/>
                <w:sz w:val="24"/>
                <w:szCs w:val="24"/>
              </w:rPr>
              <w:t xml:space="preserve"> </w:t>
            </w:r>
            <w:r>
              <w:rPr>
                <w:rFonts w:hint="eastAsia"/>
                <w:bCs/>
                <w:sz w:val="24"/>
                <w:szCs w:val="24"/>
              </w:rPr>
              <w:t>本项目厌氧消化罐选择全混式厌氧消化罐（CSTR），厌氧装置是该沼气工程的核心设备，物料中的有机物在厌氧条件下经微生物降解，转化成甲烷、二氧化碳等，所产气体（沼气）。在厌氧反应器运行中，需要一定的保温（设置热储罐），以保证厌氧污泥的活性。本项目一体化厌氧罐可以实现中高温切换，以满足物料量增加引起的负荷增加，实现高温厌氧以后可以增加15~20%处理量弹性。发酵罐采用连续进料方式，罐体中部进料，罐体底部中央出料。进罐物料在搅拌器的混合下，迅速均匀分布在发酵罐内，发酵降解。罐体底部设有排砂管道和防涡流板，使物料中的细砂在搅拌产生的离心力和自身重力作用下下沉，并聚集于罐体中部，定期由排砂管道排出。</w:t>
            </w:r>
          </w:p>
          <w:p w14:paraId="0D4A9D8D">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沼渣暂存、固液分离：厌氧罐发酵后的沼渣出料选为设有控制阀门的重力自然溢流排料方式，排放出的发酵残渣进入沼液罐，由于含固率比较高，首先需要脱水。沼渣采用离心脱水机脱水之后送至附近生活垃圾填埋场处理，沼液排入自建污水处理站进行处理。</w:t>
            </w:r>
          </w:p>
          <w:p w14:paraId="5C517373">
            <w:pPr>
              <w:pStyle w:val="81"/>
              <w:adjustRightInd w:val="0"/>
              <w:snapToGrid w:val="0"/>
              <w:spacing w:line="360" w:lineRule="auto"/>
              <w:ind w:firstLine="482"/>
              <w:jc w:val="both"/>
              <w:rPr>
                <w:b/>
                <w:bCs/>
                <w:sz w:val="24"/>
                <w:szCs w:val="24"/>
              </w:rPr>
            </w:pPr>
            <w:r>
              <w:rPr>
                <w:rFonts w:hint="eastAsia"/>
                <w:b/>
                <w:bCs/>
                <w:sz w:val="24"/>
                <w:szCs w:val="24"/>
              </w:rPr>
              <w:t>3、地沟油处理系统工艺流程及产污环节</w:t>
            </w:r>
          </w:p>
          <w:p w14:paraId="7BC1C466">
            <w:pPr>
              <w:pStyle w:val="81"/>
              <w:adjustRightInd w:val="0"/>
              <w:snapToGrid w:val="0"/>
              <w:spacing w:line="360" w:lineRule="auto"/>
              <w:ind w:firstLine="480"/>
              <w:jc w:val="both"/>
              <w:rPr>
                <w:bCs/>
                <w:sz w:val="24"/>
                <w:szCs w:val="24"/>
              </w:rPr>
            </w:pPr>
            <w:r>
              <w:rPr>
                <w:rFonts w:hint="eastAsia"/>
                <w:bCs/>
                <w:sz w:val="24"/>
                <w:szCs w:val="24"/>
              </w:rPr>
              <w:t>地沟油性质与餐厨垃圾不同，需要分别处理。本项目地沟油处理规模2t/d，地沟油处理系统采用“物料接收+初筛+加热系统+离心提油”的主体技术路线，地沟油处理系统工艺及产污环节如下图所示。</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42C9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3" w:type="dxa"/>
                  <w:vAlign w:val="center"/>
                </w:tcPr>
                <w:p w14:paraId="1CD216FF">
                  <w:pPr>
                    <w:pStyle w:val="81"/>
                    <w:keepNext/>
                    <w:adjustRightInd w:val="0"/>
                    <w:snapToGrid w:val="0"/>
                    <w:spacing w:line="240" w:lineRule="auto"/>
                    <w:ind w:firstLine="0" w:firstLineChars="0"/>
                    <w:rPr>
                      <w:bCs/>
                      <w:sz w:val="24"/>
                      <w:szCs w:val="24"/>
                    </w:rPr>
                  </w:pPr>
                  <w:r>
                    <w:rPr>
                      <w:sz w:val="24"/>
                      <w:szCs w:val="24"/>
                    </w:rPr>
                    <w:object>
                      <v:shape id="_x0000_i1029" o:spt="75" type="#_x0000_t75" style="height:149.4pt;width:330.85pt;" o:ole="t" filled="f" o:preferrelative="t" stroked="f" coordsize="21600,21600">
                        <v:path/>
                        <v:fill on="f" focussize="0,0"/>
                        <v:stroke on="f" joinstyle="miter"/>
                        <v:imagedata r:id="rId26" o:title=""/>
                        <o:lock v:ext="edit" aspectratio="t"/>
                        <w10:wrap type="none"/>
                        <w10:anchorlock/>
                      </v:shape>
                      <o:OLEObject Type="Embed" ProgID="Visio.Drawing.11" ShapeID="_x0000_i1029" DrawAspect="Content" ObjectID="_1468075729" r:id="rId25">
                        <o:LockedField>false</o:LockedField>
                      </o:OLEObject>
                    </w:object>
                  </w:r>
                </w:p>
              </w:tc>
            </w:tr>
          </w:tbl>
          <w:p w14:paraId="2D1CABD1">
            <w:pPr>
              <w:pStyle w:val="10"/>
              <w:jc w:val="center"/>
              <w:rPr>
                <w:bCs/>
                <w:sz w:val="24"/>
                <w:szCs w:val="24"/>
              </w:rPr>
            </w:pPr>
            <w:r>
              <w:rPr>
                <w:rFonts w:hint="eastAsia"/>
                <w:sz w:val="24"/>
                <w:szCs w:val="24"/>
              </w:rPr>
              <w:t xml:space="preserve">图 </w:t>
            </w:r>
            <w:r>
              <w:rPr>
                <w:rFonts w:hint="eastAsia"/>
                <w:sz w:val="24"/>
                <w:szCs w:val="24"/>
                <w:lang w:val="en-US" w:eastAsia="zh-CN"/>
              </w:rPr>
              <w:t>3-5</w:t>
            </w:r>
            <w:r>
              <w:rPr>
                <w:rFonts w:hint="eastAsia"/>
                <w:sz w:val="24"/>
                <w:szCs w:val="24"/>
              </w:rPr>
              <w:t xml:space="preserve"> 地沟油处理工艺流程及产污环节图</w:t>
            </w:r>
          </w:p>
          <w:p w14:paraId="0947CE7B">
            <w:pPr>
              <w:pStyle w:val="81"/>
              <w:adjustRightInd w:val="0"/>
              <w:snapToGrid w:val="0"/>
              <w:spacing w:before="120" w:beforeLines="50" w:line="360" w:lineRule="auto"/>
              <w:ind w:firstLine="482"/>
              <w:jc w:val="both"/>
              <w:rPr>
                <w:b/>
                <w:bCs/>
                <w:sz w:val="24"/>
                <w:szCs w:val="24"/>
              </w:rPr>
            </w:pPr>
            <w:r>
              <w:rPr>
                <w:rFonts w:hint="eastAsia"/>
                <w:b/>
                <w:bCs/>
                <w:sz w:val="24"/>
                <w:szCs w:val="24"/>
              </w:rPr>
              <w:t>工艺简述：</w:t>
            </w:r>
          </w:p>
          <w:p w14:paraId="36ADC0CF">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接料、初筛系统：废弃油脂收运车驶进处理厂卸料大厅油脂接料装置中，接料装置具备预加热、粗分大杂物功能；进入接料装置内的废弃油脂经蒸汽加热至40-50℃，使废弃油脂中的杂物和油水混合物粘黏度得到一定的降低，增强废弃油脂的流动性，粗大杂物被接料装置内的筛网截留下来；经粗分后的废弃油脂自流入初筛机内，初筛机将物料中固体杂质分离出来，杂质由螺旋输送机送至杂物间，废油自流入废油暂存罐内。</w:t>
            </w:r>
          </w:p>
          <w:p w14:paraId="42CA86D6">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加热系统：废油暂存箱罐物料由废油输送泵输送至废弃油脂湿热罐内，直接通入蒸汽进行加热搅拌均匀，将物料加热至90℃后泵送至离心提油系统。蒸汽来自厂内的燃气热水炉。</w:t>
            </w:r>
          </w:p>
          <w:p w14:paraId="79DC180C">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离心提油系统：废弃油脂湿热罐内物料经加热系统加热至 90℃后，泵送至卧式离心机进行提油，分离出的成品油相（含油≥95%），通过泵送至室外油罐储存；分离出的有机固渣由外运处理；分离出的废水进入污水处理站处理排放。</w:t>
            </w:r>
          </w:p>
          <w:p w14:paraId="38C41D35">
            <w:pPr>
              <w:pStyle w:val="81"/>
              <w:adjustRightInd w:val="0"/>
              <w:snapToGrid w:val="0"/>
              <w:spacing w:line="360" w:lineRule="auto"/>
              <w:ind w:firstLine="482"/>
              <w:jc w:val="both"/>
              <w:rPr>
                <w:b/>
                <w:bCs/>
                <w:sz w:val="24"/>
                <w:szCs w:val="24"/>
              </w:rPr>
            </w:pPr>
            <w:r>
              <w:rPr>
                <w:rFonts w:hint="eastAsia"/>
                <w:b/>
                <w:bCs/>
                <w:sz w:val="24"/>
                <w:szCs w:val="24"/>
              </w:rPr>
              <w:t>4、沼气利用系统工艺流程及产污环节</w:t>
            </w:r>
          </w:p>
          <w:p w14:paraId="717F0F8A">
            <w:pPr>
              <w:pStyle w:val="81"/>
              <w:adjustRightInd w:val="0"/>
              <w:snapToGrid w:val="0"/>
              <w:spacing w:line="360" w:lineRule="auto"/>
              <w:ind w:firstLine="480"/>
              <w:jc w:val="both"/>
              <w:rPr>
                <w:bCs/>
                <w:sz w:val="24"/>
                <w:szCs w:val="24"/>
              </w:rPr>
            </w:pPr>
            <w:r>
              <w:rPr>
                <w:rFonts w:hint="eastAsia"/>
                <w:bCs/>
                <w:sz w:val="24"/>
                <w:szCs w:val="24"/>
              </w:rPr>
              <w:t>从厌氧罐生成的沼气是一种燃料，其主要成分是甲烷和二氧化碳，本项目产生的沼气经净化后热水炉燃料，产生的蒸汽用于餐厨垃圾处理系统供热。沼气利用系统工艺及产污环节如下图所示。</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1E43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3" w:type="dxa"/>
                  <w:vAlign w:val="center"/>
                </w:tcPr>
                <w:p w14:paraId="7109C122">
                  <w:pPr>
                    <w:pStyle w:val="81"/>
                    <w:keepNext/>
                    <w:adjustRightInd w:val="0"/>
                    <w:snapToGrid w:val="0"/>
                    <w:spacing w:line="360" w:lineRule="auto"/>
                    <w:ind w:firstLine="0" w:firstLineChars="0"/>
                    <w:rPr>
                      <w:bCs/>
                      <w:sz w:val="24"/>
                      <w:szCs w:val="24"/>
                    </w:rPr>
                  </w:pPr>
                  <w:r>
                    <w:rPr>
                      <w:sz w:val="24"/>
                      <w:szCs w:val="24"/>
                    </w:rPr>
                    <w:object>
                      <v:shape id="_x0000_i1030" o:spt="75" type="#_x0000_t75" style="height:205.65pt;width:316.4pt;" o:ole="t" filled="f" o:preferrelative="t" stroked="f" coordsize="21600,21600">
                        <v:path/>
                        <v:fill on="f" focussize="0,0"/>
                        <v:stroke on="f" joinstyle="miter"/>
                        <v:imagedata r:id="rId28" o:title=""/>
                        <o:lock v:ext="edit" aspectratio="t"/>
                        <w10:wrap type="none"/>
                        <w10:anchorlock/>
                      </v:shape>
                      <o:OLEObject Type="Embed" ProgID="Visio.Drawing.11" ShapeID="_x0000_i1030" DrawAspect="Content" ObjectID="_1468075730" r:id="rId27">
                        <o:LockedField>false</o:LockedField>
                      </o:OLEObject>
                    </w:object>
                  </w:r>
                </w:p>
              </w:tc>
            </w:tr>
          </w:tbl>
          <w:p w14:paraId="5E2F1354">
            <w:pPr>
              <w:pStyle w:val="10"/>
              <w:spacing w:line="360" w:lineRule="auto"/>
              <w:jc w:val="center"/>
              <w:rPr>
                <w:sz w:val="24"/>
                <w:szCs w:val="24"/>
              </w:rPr>
            </w:pPr>
            <w:r>
              <w:rPr>
                <w:rFonts w:hint="eastAsia"/>
                <w:sz w:val="24"/>
                <w:szCs w:val="24"/>
              </w:rPr>
              <w:t xml:space="preserve">图 </w:t>
            </w:r>
            <w:r>
              <w:rPr>
                <w:rFonts w:hint="eastAsia"/>
                <w:sz w:val="24"/>
                <w:szCs w:val="24"/>
                <w:lang w:val="en-US" w:eastAsia="zh-CN"/>
              </w:rPr>
              <w:t>3-6</w:t>
            </w:r>
            <w:r>
              <w:rPr>
                <w:rFonts w:hint="eastAsia"/>
                <w:sz w:val="24"/>
                <w:szCs w:val="24"/>
              </w:rPr>
              <w:t xml:space="preserve"> 沼气利用处理工艺流程及产污环节图</w:t>
            </w:r>
          </w:p>
          <w:p w14:paraId="2A98DA02">
            <w:pPr>
              <w:pStyle w:val="81"/>
              <w:adjustRightInd w:val="0"/>
              <w:snapToGrid w:val="0"/>
              <w:spacing w:before="120" w:beforeLines="50" w:line="360" w:lineRule="auto"/>
              <w:ind w:firstLine="482"/>
              <w:jc w:val="both"/>
              <w:rPr>
                <w:b/>
                <w:bCs/>
                <w:sz w:val="24"/>
                <w:szCs w:val="24"/>
              </w:rPr>
            </w:pPr>
            <w:r>
              <w:rPr>
                <w:rFonts w:hint="eastAsia"/>
                <w:b/>
                <w:bCs/>
                <w:sz w:val="24"/>
                <w:szCs w:val="24"/>
              </w:rPr>
              <w:t>工艺简述：</w:t>
            </w:r>
          </w:p>
          <w:p w14:paraId="2BE1308C">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气水分离：沼气中含有一定量的水分，不经过脱水会在设备气体管路中聚集，和硫化氢结合会产生腐蚀性的酸溶液，引起腐蚀。从厌氧反应器出来含有水分的沼气在经过冷凝器时，其中所含水分冷却凝结，以达到干燥的目的。</w:t>
            </w:r>
          </w:p>
          <w:p w14:paraId="368026BE">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干法脱硫：沼气中含有一定量的硫化氢，因为硫化氢具有毒性、腐蚀性，其浓度应限制在规定值以下。本项目餐厨垃圾厌氧消化产生的沼气H</w:t>
            </w:r>
            <w:r>
              <w:rPr>
                <w:rFonts w:hint="eastAsia"/>
                <w:bCs/>
                <w:sz w:val="24"/>
                <w:szCs w:val="24"/>
                <w:vertAlign w:val="subscript"/>
              </w:rPr>
              <w:t>2</w:t>
            </w:r>
            <w:r>
              <w:rPr>
                <w:rFonts w:hint="eastAsia"/>
                <w:bCs/>
                <w:sz w:val="24"/>
                <w:szCs w:val="24"/>
              </w:rPr>
              <w:t>S含量较低，采用干法脱硫工艺。干法脱硫是在脱硫设备内装填一定高度的脱硫剂，沼气自下而上通过脱硫剂（以氧化铁为主要活性催化组分），H</w:t>
            </w:r>
            <w:r>
              <w:rPr>
                <w:rFonts w:hint="eastAsia"/>
                <w:bCs/>
                <w:sz w:val="24"/>
                <w:szCs w:val="24"/>
                <w:vertAlign w:val="subscript"/>
              </w:rPr>
              <w:t>2</w:t>
            </w:r>
            <w:r>
              <w:rPr>
                <w:rFonts w:hint="eastAsia"/>
                <w:bCs/>
                <w:sz w:val="24"/>
                <w:szCs w:val="24"/>
              </w:rPr>
              <w:t>S被去除（脱硫率可达90%以上）。脱硫工艺原理如下：脱硫：Fe</w:t>
            </w:r>
            <w:r>
              <w:rPr>
                <w:rFonts w:hint="eastAsia"/>
                <w:bCs/>
                <w:sz w:val="24"/>
                <w:szCs w:val="24"/>
                <w:vertAlign w:val="subscript"/>
              </w:rPr>
              <w:t>2</w:t>
            </w:r>
            <w:r>
              <w:rPr>
                <w:rFonts w:hint="eastAsia"/>
                <w:bCs/>
                <w:sz w:val="24"/>
                <w:szCs w:val="24"/>
              </w:rPr>
              <w:t>O</w:t>
            </w:r>
            <w:r>
              <w:rPr>
                <w:rFonts w:hint="eastAsia"/>
                <w:bCs/>
                <w:sz w:val="24"/>
                <w:szCs w:val="24"/>
                <w:vertAlign w:val="subscript"/>
              </w:rPr>
              <w:t>3</w:t>
            </w:r>
            <w:r>
              <w:rPr>
                <w:rFonts w:hint="eastAsia"/>
                <w:bCs/>
                <w:sz w:val="24"/>
                <w:szCs w:val="24"/>
              </w:rPr>
              <w:t>•H</w:t>
            </w:r>
            <w:r>
              <w:rPr>
                <w:rFonts w:hint="eastAsia"/>
                <w:bCs/>
                <w:sz w:val="24"/>
                <w:szCs w:val="24"/>
                <w:vertAlign w:val="subscript"/>
              </w:rPr>
              <w:t>2</w:t>
            </w:r>
            <w:r>
              <w:rPr>
                <w:rFonts w:hint="eastAsia"/>
                <w:bCs/>
                <w:sz w:val="24"/>
                <w:szCs w:val="24"/>
              </w:rPr>
              <w:t>O+3H</w:t>
            </w:r>
            <w:r>
              <w:rPr>
                <w:rFonts w:hint="eastAsia"/>
                <w:bCs/>
                <w:sz w:val="24"/>
                <w:szCs w:val="24"/>
                <w:vertAlign w:val="subscript"/>
              </w:rPr>
              <w:t>2</w:t>
            </w:r>
            <w:r>
              <w:rPr>
                <w:rFonts w:hint="eastAsia"/>
                <w:bCs/>
                <w:sz w:val="24"/>
                <w:szCs w:val="24"/>
              </w:rPr>
              <w:t>S=Fe</w:t>
            </w:r>
            <w:r>
              <w:rPr>
                <w:rFonts w:hint="eastAsia"/>
                <w:bCs/>
                <w:sz w:val="24"/>
                <w:szCs w:val="24"/>
                <w:vertAlign w:val="subscript"/>
              </w:rPr>
              <w:t>2</w:t>
            </w:r>
            <w:r>
              <w:rPr>
                <w:rFonts w:hint="eastAsia"/>
                <w:bCs/>
                <w:sz w:val="24"/>
                <w:szCs w:val="24"/>
              </w:rPr>
              <w:t>S</w:t>
            </w:r>
            <w:r>
              <w:rPr>
                <w:rFonts w:hint="eastAsia"/>
                <w:bCs/>
                <w:sz w:val="24"/>
                <w:szCs w:val="24"/>
                <w:vertAlign w:val="subscript"/>
              </w:rPr>
              <w:t>3</w:t>
            </w:r>
            <w:r>
              <w:rPr>
                <w:rFonts w:hint="eastAsia"/>
                <w:bCs/>
                <w:sz w:val="24"/>
                <w:szCs w:val="24"/>
              </w:rPr>
              <w:t>•H</w:t>
            </w:r>
            <w:r>
              <w:rPr>
                <w:rFonts w:hint="eastAsia"/>
                <w:bCs/>
                <w:sz w:val="24"/>
                <w:szCs w:val="24"/>
                <w:vertAlign w:val="subscript"/>
              </w:rPr>
              <w:t>2</w:t>
            </w:r>
            <w:r>
              <w:rPr>
                <w:rFonts w:hint="eastAsia"/>
                <w:bCs/>
                <w:sz w:val="24"/>
                <w:szCs w:val="24"/>
              </w:rPr>
              <w:t>O+3H</w:t>
            </w:r>
            <w:r>
              <w:rPr>
                <w:rFonts w:hint="eastAsia"/>
                <w:bCs/>
                <w:sz w:val="24"/>
                <w:szCs w:val="24"/>
                <w:vertAlign w:val="subscript"/>
              </w:rPr>
              <w:t>2</w:t>
            </w:r>
            <w:r>
              <w:rPr>
                <w:rFonts w:hint="eastAsia"/>
                <w:bCs/>
                <w:sz w:val="24"/>
                <w:szCs w:val="24"/>
              </w:rPr>
              <w:t>O</w:t>
            </w:r>
          </w:p>
          <w:p w14:paraId="5ED5A503">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暂存：本项目沼气采用双膜沼气囊贮存，膜材采用耐腐蚀的环保专用复合材料，主要由高强抗拉纤维、气密性防腐涂层、表面涂层（PVDF）组成，具有防腐、抗老化、抗微生物及紫外线等功能。</w:t>
            </w:r>
          </w:p>
          <w:p w14:paraId="6D72603A">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沼气热水炉系统：本项目配套沼气热水炉和换热循环系统。配套设置1台蒸汽热水炉（参照燃气热水锅炉）及配套的软水系统，处理后的软水进入软化水箱，由热水炉给水泵从软化水箱将软化水打入热水炉中。</w:t>
            </w:r>
          </w:p>
          <w:p w14:paraId="091900E0">
            <w:pPr>
              <w:pStyle w:val="81"/>
              <w:adjustRightInd w:val="0"/>
              <w:snapToGrid w:val="0"/>
              <w:spacing w:line="360" w:lineRule="auto"/>
              <w:ind w:firstLine="482"/>
              <w:jc w:val="both"/>
              <w:rPr>
                <w:b/>
                <w:bCs/>
                <w:sz w:val="24"/>
                <w:szCs w:val="24"/>
              </w:rPr>
            </w:pPr>
            <w:r>
              <w:rPr>
                <w:rFonts w:hint="eastAsia"/>
                <w:b/>
                <w:bCs/>
                <w:sz w:val="24"/>
                <w:szCs w:val="24"/>
              </w:rPr>
              <w:t>5、污水处理系统工艺流程及产污环节</w:t>
            </w:r>
          </w:p>
          <w:p w14:paraId="0524CD76">
            <w:pPr>
              <w:pStyle w:val="81"/>
              <w:adjustRightInd w:val="0"/>
              <w:snapToGrid w:val="0"/>
              <w:spacing w:line="360" w:lineRule="auto"/>
              <w:ind w:firstLine="480"/>
              <w:jc w:val="both"/>
              <w:rPr>
                <w:bCs/>
                <w:sz w:val="24"/>
                <w:szCs w:val="24"/>
              </w:rPr>
            </w:pPr>
            <w:r>
              <w:rPr>
                <w:rFonts w:hint="eastAsia"/>
                <w:bCs/>
                <w:sz w:val="24"/>
                <w:szCs w:val="24"/>
              </w:rPr>
              <w:t>本项目设计污水处理系统规模为18m</w:t>
            </w:r>
            <w:r>
              <w:rPr>
                <w:rFonts w:hint="eastAsia"/>
                <w:bCs/>
                <w:sz w:val="24"/>
                <w:szCs w:val="24"/>
                <w:vertAlign w:val="superscript"/>
              </w:rPr>
              <w:t>3</w:t>
            </w:r>
            <w:r>
              <w:rPr>
                <w:rFonts w:hint="eastAsia"/>
                <w:bCs/>
                <w:sz w:val="24"/>
                <w:szCs w:val="24"/>
              </w:rPr>
              <w:t>/d，设计为地上一体化装置，采用“调节池+CSTR厌氧反应器+混凝澄清池”工艺，其工艺及产污环节如下图所示。</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3"/>
            </w:tblGrid>
            <w:tr w14:paraId="655C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3" w:type="dxa"/>
                  <w:vAlign w:val="center"/>
                </w:tcPr>
                <w:p w14:paraId="61E9E753">
                  <w:pPr>
                    <w:pStyle w:val="81"/>
                    <w:keepNext/>
                    <w:adjustRightInd w:val="0"/>
                    <w:snapToGrid w:val="0"/>
                    <w:spacing w:line="360" w:lineRule="auto"/>
                    <w:ind w:firstLine="0" w:firstLineChars="0"/>
                    <w:rPr>
                      <w:bCs/>
                      <w:sz w:val="24"/>
                      <w:szCs w:val="24"/>
                    </w:rPr>
                  </w:pPr>
                  <w:r>
                    <w:rPr>
                      <w:sz w:val="24"/>
                      <w:szCs w:val="24"/>
                    </w:rPr>
                    <w:object>
                      <v:shape id="_x0000_i1031" o:spt="75" type="#_x0000_t75" style="height:192.8pt;width:250.05pt;" o:ole="t" filled="f" o:preferrelative="t" stroked="f" coordsize="21600,21600">
                        <v:path/>
                        <v:fill on="f" focussize="0,0"/>
                        <v:stroke on="f" joinstyle="miter"/>
                        <v:imagedata r:id="rId30" o:title=""/>
                        <o:lock v:ext="edit" aspectratio="t"/>
                        <w10:wrap type="none"/>
                        <w10:anchorlock/>
                      </v:shape>
                      <o:OLEObject Type="Embed" ProgID="Visio.Drawing.11" ShapeID="_x0000_i1031" DrawAspect="Content" ObjectID="_1468075731" r:id="rId29">
                        <o:LockedField>false</o:LockedField>
                      </o:OLEObject>
                    </w:object>
                  </w:r>
                </w:p>
              </w:tc>
            </w:tr>
          </w:tbl>
          <w:p w14:paraId="5535BA80">
            <w:pPr>
              <w:pStyle w:val="10"/>
              <w:spacing w:line="360" w:lineRule="auto"/>
              <w:jc w:val="center"/>
              <w:rPr>
                <w:sz w:val="24"/>
                <w:szCs w:val="24"/>
              </w:rPr>
            </w:pPr>
            <w:r>
              <w:rPr>
                <w:rFonts w:hint="eastAsia"/>
                <w:sz w:val="24"/>
                <w:szCs w:val="24"/>
              </w:rPr>
              <w:t xml:space="preserve">图 </w:t>
            </w:r>
            <w:r>
              <w:rPr>
                <w:rFonts w:hint="eastAsia"/>
                <w:sz w:val="24"/>
                <w:szCs w:val="24"/>
                <w:lang w:val="en-US" w:eastAsia="zh-CN"/>
              </w:rPr>
              <w:t>3-7</w:t>
            </w:r>
            <w:r>
              <w:rPr>
                <w:rFonts w:hint="eastAsia"/>
                <w:sz w:val="24"/>
                <w:szCs w:val="24"/>
              </w:rPr>
              <w:t xml:space="preserve"> 一体化污水处理系统工艺流程及产污环节图</w:t>
            </w:r>
          </w:p>
          <w:p w14:paraId="5FB1BB4E">
            <w:pPr>
              <w:pStyle w:val="81"/>
              <w:adjustRightInd w:val="0"/>
              <w:snapToGrid w:val="0"/>
              <w:spacing w:before="120" w:beforeLines="50" w:line="360" w:lineRule="auto"/>
              <w:ind w:firstLine="482"/>
              <w:jc w:val="both"/>
              <w:rPr>
                <w:b/>
                <w:bCs/>
                <w:sz w:val="24"/>
                <w:szCs w:val="24"/>
              </w:rPr>
            </w:pPr>
            <w:r>
              <w:rPr>
                <w:rFonts w:hint="eastAsia"/>
                <w:b/>
                <w:bCs/>
                <w:sz w:val="24"/>
                <w:szCs w:val="24"/>
              </w:rPr>
              <w:t>工艺简述：</w:t>
            </w:r>
          </w:p>
          <w:p w14:paraId="406B9845">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 xml:space="preserve">调节池：废水pH为4～5，后续生化处理工艺环节pH适宜范围一般为7～8，调节废水pH至7～8。 </w:t>
            </w:r>
          </w:p>
          <w:p w14:paraId="7ABD6F59">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 xml:space="preserve">CSTR厌氧反应器：利用厌氧菌，使有机物发生水解、酸化和甲烷化，厌氧降解过程可以分为四个阶段：水解阶段、发酵（或酸化）阶段、产乙酸阶段和产甲烷阶段，通过这四个阶段的反应将废水中的高分子有机物分解为小分子，去除废水中的有机物，降低后续生物处理的生物负荷并提高其可生化性。废水中悬浮物以及胶体浓度较高，UASB、EGSB以及IC厌氧反应器对SS要求较高，而CSTR厌氧反应器对SS要求相对较低，可作为该废水首选厌氧反应器。CSTR反应器选用中温厌氧反应器，容积负荷较大，可有效减少占地面积，反应器产生的沼气经热转移，用于加热反应器，资源二次利用，减少运行成本。 </w:t>
            </w:r>
          </w:p>
          <w:p w14:paraId="506592D5">
            <w:pPr>
              <w:pStyle w:val="81"/>
              <w:numPr>
                <w:ilvl w:val="0"/>
                <w:numId w:val="6"/>
              </w:numPr>
              <w:adjustRightInd w:val="0"/>
              <w:snapToGrid w:val="0"/>
              <w:spacing w:line="360" w:lineRule="auto"/>
              <w:ind w:left="0" w:firstLine="480"/>
              <w:jc w:val="both"/>
              <w:rPr>
                <w:bCs/>
                <w:sz w:val="24"/>
                <w:szCs w:val="24"/>
              </w:rPr>
            </w:pPr>
            <w:r>
              <w:rPr>
                <w:rFonts w:hint="eastAsia"/>
                <w:bCs/>
                <w:sz w:val="24"/>
                <w:szCs w:val="24"/>
              </w:rPr>
              <w:t>微絮凝除磷：</w:t>
            </w:r>
            <w:r>
              <w:rPr>
                <w:bCs/>
                <w:sz w:val="24"/>
                <w:szCs w:val="24"/>
              </w:rPr>
              <w:t>微絮凝工艺是针对工艺产水投加少量的絮凝剂，可使水中的磷酸盐发生化学反应生成沉淀，一般可采用铝盐、铁盐等絮凝剂。铝盐混凝除磷，除磷的机理自然是以混凝为主，而混凝的过程便是一个吸附絮凝沉淀的过程。铝盐(常用的铝盐有聚合铝、硫酸铝、三氯化铝等等)在废水中水解生成氢氧化铝与其它氢氧化物质与水中的溶解性磷酸盐进行反应转换成非溶解性磷酸盐沉淀，再用提取污泥的方法将废水与泥分离开来达到除磷目的。</w:t>
            </w:r>
          </w:p>
          <w:p w14:paraId="4111E8D7">
            <w:pPr>
              <w:pStyle w:val="5"/>
              <w:numPr>
                <w:ilvl w:val="2"/>
                <w:numId w:val="0"/>
              </w:numPr>
              <w:tabs>
                <w:tab w:val="clear" w:pos="420"/>
              </w:tabs>
              <w:bidi w:val="0"/>
              <w:rPr>
                <w:rFonts w:hint="eastAsia"/>
                <w:color w:val="auto"/>
                <w:lang w:val="en-US" w:eastAsia="zh-CN"/>
              </w:rPr>
            </w:pPr>
            <w:r>
              <w:rPr>
                <w:rFonts w:hint="eastAsia"/>
                <w:color w:val="auto"/>
                <w:lang w:val="en-US" w:eastAsia="zh-CN"/>
              </w:rPr>
              <w:t>4、项目变动情况统计</w:t>
            </w:r>
          </w:p>
          <w:p w14:paraId="20C6E1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本工程环评文件经批准后，实际建设过程中，建设项目的性质、地点、规模、生产工艺、环境保护措施等变动情况见下表。</w:t>
            </w:r>
          </w:p>
          <w:tbl>
            <w:tblPr>
              <w:tblStyle w:val="34"/>
              <w:tblpPr w:leftFromText="180" w:rightFromText="180" w:vertAnchor="text" w:horzAnchor="page" w:tblpX="184" w:tblpY="623"/>
              <w:tblOverlap w:val="never"/>
              <w:tblW w:w="10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140"/>
              <w:gridCol w:w="2970"/>
              <w:gridCol w:w="2745"/>
              <w:gridCol w:w="1560"/>
              <w:gridCol w:w="1110"/>
            </w:tblGrid>
            <w:tr w14:paraId="22BD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7" w:type="dxa"/>
                  <w:noWrap w:val="0"/>
                  <w:vAlign w:val="center"/>
                </w:tcPr>
                <w:p w14:paraId="7A7BBE16">
                  <w:pPr>
                    <w:keepNext w:val="0"/>
                    <w:keepLines w:val="0"/>
                    <w:suppressLineNumbers w:val="0"/>
                    <w:spacing w:before="0" w:beforeAutospacing="0" w:after="0" w:afterAutospacing="0" w:line="240" w:lineRule="auto"/>
                    <w:ind w:left="0" w:right="0"/>
                    <w:jc w:val="center"/>
                    <w:rPr>
                      <w:rFonts w:hint="eastAsia" w:eastAsia="宋体"/>
                      <w:lang w:val="en-US" w:eastAsia="zh-CN"/>
                    </w:rPr>
                  </w:pPr>
                  <w:r>
                    <w:rPr>
                      <w:rFonts w:hint="eastAsia"/>
                      <w:lang w:val="en-US" w:eastAsia="zh-CN"/>
                    </w:rPr>
                    <w:t>序号</w:t>
                  </w:r>
                </w:p>
              </w:tc>
              <w:tc>
                <w:tcPr>
                  <w:tcW w:w="1140" w:type="dxa"/>
                  <w:shd w:val="clear" w:color="auto" w:fill="auto"/>
                  <w:noWrap w:val="0"/>
                  <w:vAlign w:val="center"/>
                </w:tcPr>
                <w:p w14:paraId="515D7210">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lang w:val="en-US" w:eastAsia="zh-CN"/>
                    </w:rPr>
                    <w:t>类型</w:t>
                  </w:r>
                </w:p>
              </w:tc>
              <w:tc>
                <w:tcPr>
                  <w:tcW w:w="2970" w:type="dxa"/>
                  <w:noWrap w:val="0"/>
                  <w:vAlign w:val="center"/>
                </w:tcPr>
                <w:p w14:paraId="7B72D09C">
                  <w:pPr>
                    <w:keepNext w:val="0"/>
                    <w:keepLines w:val="0"/>
                    <w:suppressLineNumbers w:val="0"/>
                    <w:spacing w:before="0" w:beforeAutospacing="0" w:after="0" w:afterAutospacing="0" w:line="240" w:lineRule="auto"/>
                    <w:ind w:left="0" w:right="0"/>
                    <w:jc w:val="center"/>
                    <w:rPr>
                      <w:rFonts w:hint="default"/>
                      <w:lang w:val="en-US" w:eastAsia="zh-CN"/>
                    </w:rPr>
                  </w:pPr>
                  <w:r>
                    <w:rPr>
                      <w:rFonts w:hint="eastAsia"/>
                      <w:lang w:val="en-US" w:eastAsia="zh-CN"/>
                    </w:rPr>
                    <w:t>环评及批复情况</w:t>
                  </w:r>
                </w:p>
              </w:tc>
              <w:tc>
                <w:tcPr>
                  <w:tcW w:w="2745" w:type="dxa"/>
                  <w:noWrap w:val="0"/>
                  <w:vAlign w:val="center"/>
                </w:tcPr>
                <w:p w14:paraId="0423CE66">
                  <w:pPr>
                    <w:keepNext w:val="0"/>
                    <w:keepLines w:val="0"/>
                    <w:suppressLineNumbers w:val="0"/>
                    <w:spacing w:before="0" w:beforeAutospacing="0" w:after="0" w:afterAutospacing="0" w:line="240" w:lineRule="auto"/>
                    <w:ind w:left="0" w:right="0"/>
                    <w:jc w:val="center"/>
                    <w:rPr>
                      <w:rFonts w:hint="default"/>
                      <w:lang w:val="en-US" w:eastAsia="zh-CN"/>
                    </w:rPr>
                  </w:pPr>
                  <w:r>
                    <w:rPr>
                      <w:rFonts w:hint="eastAsia"/>
                      <w:lang w:val="en-US" w:eastAsia="zh-CN"/>
                    </w:rPr>
                    <w:t>实际建设情况</w:t>
                  </w:r>
                </w:p>
              </w:tc>
              <w:tc>
                <w:tcPr>
                  <w:tcW w:w="1560" w:type="dxa"/>
                  <w:noWrap w:val="0"/>
                  <w:vAlign w:val="center"/>
                </w:tcPr>
                <w:p w14:paraId="3414D2BC">
                  <w:pPr>
                    <w:keepNext w:val="0"/>
                    <w:keepLines w:val="0"/>
                    <w:suppressLineNumbers w:val="0"/>
                    <w:spacing w:before="0" w:beforeAutospacing="0" w:after="0" w:afterAutospacing="0" w:line="240" w:lineRule="auto"/>
                    <w:ind w:left="0" w:right="0"/>
                    <w:jc w:val="center"/>
                    <w:rPr>
                      <w:rFonts w:hint="eastAsia"/>
                      <w:lang w:val="en-US" w:eastAsia="zh-CN"/>
                    </w:rPr>
                  </w:pPr>
                  <w:r>
                    <w:rPr>
                      <w:rFonts w:hint="eastAsia"/>
                      <w:lang w:val="en-US" w:eastAsia="zh-CN"/>
                    </w:rPr>
                    <w:t>变动情况</w:t>
                  </w:r>
                </w:p>
              </w:tc>
              <w:tc>
                <w:tcPr>
                  <w:tcW w:w="1110" w:type="dxa"/>
                  <w:noWrap w:val="0"/>
                  <w:vAlign w:val="center"/>
                </w:tcPr>
                <w:p w14:paraId="7682FBD5">
                  <w:pPr>
                    <w:keepNext w:val="0"/>
                    <w:keepLines w:val="0"/>
                    <w:suppressLineNumbers w:val="0"/>
                    <w:spacing w:before="0" w:beforeAutospacing="0" w:after="0" w:afterAutospacing="0" w:line="240" w:lineRule="auto"/>
                    <w:ind w:left="0" w:right="0"/>
                    <w:jc w:val="center"/>
                    <w:rPr>
                      <w:rFonts w:hint="eastAsia"/>
                      <w:lang w:val="en-US" w:eastAsia="zh-CN"/>
                    </w:rPr>
                  </w:pPr>
                  <w:r>
                    <w:rPr>
                      <w:rFonts w:hint="eastAsia" w:ascii="宋体" w:hAnsi="宋体" w:eastAsia="宋体" w:cs="宋体"/>
                      <w:color w:val="000000"/>
                      <w:spacing w:val="0"/>
                      <w:w w:val="100"/>
                      <w:position w:val="0"/>
                      <w:sz w:val="21"/>
                      <w:szCs w:val="21"/>
                      <w:vertAlign w:val="baseline"/>
                      <w:lang w:val="en-US" w:eastAsia="zh-CN"/>
                    </w:rPr>
                    <w:t>是否为重大变更</w:t>
                  </w:r>
                </w:p>
              </w:tc>
            </w:tr>
            <w:tr w14:paraId="6DFA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07" w:type="dxa"/>
                  <w:noWrap w:val="0"/>
                  <w:vAlign w:val="center"/>
                </w:tcPr>
                <w:p w14:paraId="0A4430C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cs="Times New Roman"/>
                      <w:lang w:val="en-US" w:eastAsia="zh-CN"/>
                    </w:rPr>
                    <w:t>1</w:t>
                  </w:r>
                </w:p>
              </w:tc>
              <w:tc>
                <w:tcPr>
                  <w:tcW w:w="1140" w:type="dxa"/>
                  <w:shd w:val="clear" w:color="auto" w:fill="auto"/>
                  <w:noWrap w:val="0"/>
                  <w:vAlign w:val="center"/>
                </w:tcPr>
                <w:p w14:paraId="3F020318">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lang w:val="en-US" w:eastAsia="zh-CN"/>
                    </w:rPr>
                    <w:t xml:space="preserve">性质 </w:t>
                  </w:r>
                </w:p>
              </w:tc>
              <w:tc>
                <w:tcPr>
                  <w:tcW w:w="2970" w:type="dxa"/>
                  <w:noWrap w:val="0"/>
                  <w:vAlign w:val="center"/>
                </w:tcPr>
                <w:p w14:paraId="52CDC86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新建</w:t>
                  </w:r>
                </w:p>
              </w:tc>
              <w:tc>
                <w:tcPr>
                  <w:tcW w:w="2745" w:type="dxa"/>
                  <w:noWrap w:val="0"/>
                  <w:vAlign w:val="center"/>
                </w:tcPr>
                <w:p w14:paraId="4114CE82">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新建</w:t>
                  </w:r>
                </w:p>
              </w:tc>
              <w:tc>
                <w:tcPr>
                  <w:tcW w:w="1560" w:type="dxa"/>
                  <w:noWrap w:val="0"/>
                  <w:vAlign w:val="center"/>
                </w:tcPr>
                <w:p w14:paraId="3C561809">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cs="Times New Roman"/>
                      <w:lang w:val="en-US" w:eastAsia="zh-CN"/>
                    </w:rPr>
                    <w:t>未发生变化</w:t>
                  </w:r>
                </w:p>
              </w:tc>
              <w:tc>
                <w:tcPr>
                  <w:tcW w:w="1110" w:type="dxa"/>
                  <w:noWrap w:val="0"/>
                  <w:vAlign w:val="center"/>
                </w:tcPr>
                <w:p w14:paraId="6EA5D712">
                  <w:pPr>
                    <w:keepNext w:val="0"/>
                    <w:keepLines w:val="0"/>
                    <w:suppressLineNumbers w:val="0"/>
                    <w:spacing w:before="0" w:beforeAutospacing="0" w:after="0" w:afterAutospacing="0" w:line="240" w:lineRule="auto"/>
                    <w:ind w:left="0" w:right="0"/>
                    <w:jc w:val="center"/>
                    <w:rPr>
                      <w:rFonts w:hint="eastAsia"/>
                      <w:lang w:val="en-US" w:eastAsia="zh-CN"/>
                    </w:rPr>
                  </w:pPr>
                  <w:r>
                    <w:rPr>
                      <w:rFonts w:hint="eastAsia"/>
                      <w:lang w:val="en-US" w:eastAsia="zh-CN"/>
                    </w:rPr>
                    <w:t>否</w:t>
                  </w:r>
                </w:p>
              </w:tc>
            </w:tr>
            <w:tr w14:paraId="53AF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07" w:type="dxa"/>
                  <w:noWrap w:val="0"/>
                  <w:vAlign w:val="center"/>
                </w:tcPr>
                <w:p w14:paraId="7F4B28A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cs="Times New Roman"/>
                      <w:lang w:val="en-US" w:eastAsia="zh-CN"/>
                    </w:rPr>
                    <w:t>2</w:t>
                  </w:r>
                </w:p>
              </w:tc>
              <w:tc>
                <w:tcPr>
                  <w:tcW w:w="1140" w:type="dxa"/>
                  <w:shd w:val="clear" w:color="auto" w:fill="auto"/>
                  <w:noWrap w:val="0"/>
                  <w:vAlign w:val="center"/>
                </w:tcPr>
                <w:p w14:paraId="70EF75E9">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lang w:val="en-US" w:eastAsia="zh-CN"/>
                    </w:rPr>
                    <w:t>地点</w:t>
                  </w:r>
                </w:p>
              </w:tc>
              <w:tc>
                <w:tcPr>
                  <w:tcW w:w="2970" w:type="dxa"/>
                  <w:noWrap w:val="0"/>
                  <w:vAlign w:val="center"/>
                </w:tcPr>
                <w:p w14:paraId="4583CF4C">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四川省广元市青川县乔庄镇建设村秧田湾</w:t>
                  </w:r>
                </w:p>
              </w:tc>
              <w:tc>
                <w:tcPr>
                  <w:tcW w:w="2745" w:type="dxa"/>
                  <w:noWrap w:val="0"/>
                  <w:vAlign w:val="center"/>
                </w:tcPr>
                <w:p w14:paraId="2C61E19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四川省广元市青川县乔庄镇建设村秧田湾</w:t>
                  </w:r>
                </w:p>
              </w:tc>
              <w:tc>
                <w:tcPr>
                  <w:tcW w:w="1560" w:type="dxa"/>
                  <w:noWrap w:val="0"/>
                  <w:vAlign w:val="center"/>
                </w:tcPr>
                <w:p w14:paraId="5D8D4866">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cs="Times New Roman"/>
                      <w:lang w:val="en-US" w:eastAsia="zh-CN"/>
                    </w:rPr>
                    <w:t>未发生变化</w:t>
                  </w:r>
                </w:p>
              </w:tc>
              <w:tc>
                <w:tcPr>
                  <w:tcW w:w="1110" w:type="dxa"/>
                  <w:noWrap w:val="0"/>
                  <w:vAlign w:val="center"/>
                </w:tcPr>
                <w:p w14:paraId="7F6D71B1">
                  <w:pPr>
                    <w:keepNext w:val="0"/>
                    <w:keepLines w:val="0"/>
                    <w:suppressLineNumbers w:val="0"/>
                    <w:spacing w:before="0" w:beforeAutospacing="0" w:after="0" w:afterAutospacing="0" w:line="240" w:lineRule="auto"/>
                    <w:ind w:left="0" w:right="0"/>
                    <w:jc w:val="center"/>
                    <w:rPr>
                      <w:rFonts w:hint="default"/>
                      <w:lang w:val="en-US" w:eastAsia="zh-CN"/>
                    </w:rPr>
                  </w:pPr>
                  <w:r>
                    <w:rPr>
                      <w:rFonts w:hint="eastAsia"/>
                      <w:lang w:val="en-US" w:eastAsia="zh-CN"/>
                    </w:rPr>
                    <w:t>否</w:t>
                  </w:r>
                </w:p>
              </w:tc>
            </w:tr>
            <w:tr w14:paraId="225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07" w:type="dxa"/>
                  <w:noWrap w:val="0"/>
                  <w:vAlign w:val="center"/>
                </w:tcPr>
                <w:p w14:paraId="3F426EB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cs="Times New Roman"/>
                      <w:lang w:val="en-US" w:eastAsia="zh-CN"/>
                    </w:rPr>
                    <w:t>3</w:t>
                  </w:r>
                </w:p>
              </w:tc>
              <w:tc>
                <w:tcPr>
                  <w:tcW w:w="1140" w:type="dxa"/>
                  <w:shd w:val="clear" w:color="auto" w:fill="auto"/>
                  <w:noWrap w:val="0"/>
                  <w:vAlign w:val="center"/>
                </w:tcPr>
                <w:p w14:paraId="2772BF3C">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lang w:val="en-US" w:eastAsia="zh-CN"/>
                    </w:rPr>
                    <w:t>规模</w:t>
                  </w:r>
                </w:p>
              </w:tc>
              <w:tc>
                <w:tcPr>
                  <w:tcW w:w="2970" w:type="dxa"/>
                  <w:noWrap w:val="0"/>
                  <w:vAlign w:val="center"/>
                </w:tcPr>
                <w:p w14:paraId="506BEB6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cs="Times New Roman"/>
                      <w:lang w:val="en-US" w:eastAsia="zh-CN"/>
                    </w:rPr>
                    <w:t>20</w:t>
                  </w:r>
                  <w:r>
                    <w:rPr>
                      <w:rFonts w:hint="eastAsia" w:ascii="Times New Roman" w:hAnsi="Times New Roman" w:cs="Times New Roman"/>
                      <w:lang w:val="en-US" w:eastAsia="zh-CN"/>
                    </w:rPr>
                    <w:t>t/d</w:t>
                  </w:r>
                </w:p>
              </w:tc>
              <w:tc>
                <w:tcPr>
                  <w:tcW w:w="2745" w:type="dxa"/>
                  <w:noWrap w:val="0"/>
                  <w:vAlign w:val="center"/>
                </w:tcPr>
                <w:p w14:paraId="7214B56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lang w:val="en-US" w:eastAsia="zh-CN"/>
                    </w:rPr>
                  </w:pPr>
                  <w:r>
                    <w:rPr>
                      <w:rFonts w:hint="eastAsia" w:cs="Times New Roman"/>
                      <w:lang w:val="en-US" w:eastAsia="zh-CN"/>
                    </w:rPr>
                    <w:t>20</w:t>
                  </w:r>
                  <w:r>
                    <w:rPr>
                      <w:rFonts w:hint="eastAsia" w:ascii="Times New Roman" w:hAnsi="Times New Roman" w:cs="Times New Roman"/>
                      <w:lang w:val="en-US" w:eastAsia="zh-CN"/>
                    </w:rPr>
                    <w:t>t/d</w:t>
                  </w:r>
                </w:p>
              </w:tc>
              <w:tc>
                <w:tcPr>
                  <w:tcW w:w="1560" w:type="dxa"/>
                  <w:noWrap w:val="0"/>
                  <w:vAlign w:val="center"/>
                </w:tcPr>
                <w:p w14:paraId="1616DAE3">
                  <w:pPr>
                    <w:keepNext w:val="0"/>
                    <w:keepLines w:val="0"/>
                    <w:suppressLineNumbers w:val="0"/>
                    <w:spacing w:before="0" w:beforeAutospacing="0" w:after="0" w:afterAutospacing="0" w:line="240" w:lineRule="auto"/>
                    <w:ind w:left="0" w:leftChars="0" w:right="0" w:rightChars="0"/>
                    <w:jc w:val="center"/>
                    <w:rPr>
                      <w:rFonts w:hint="eastAsia" w:cs="Times New Roman"/>
                      <w:lang w:val="en-US" w:eastAsia="zh-CN"/>
                    </w:rPr>
                  </w:pPr>
                  <w:r>
                    <w:rPr>
                      <w:rFonts w:hint="eastAsia" w:cs="Times New Roman"/>
                      <w:lang w:val="en-US" w:eastAsia="zh-CN"/>
                    </w:rPr>
                    <w:t>未发生变化</w:t>
                  </w:r>
                </w:p>
              </w:tc>
              <w:tc>
                <w:tcPr>
                  <w:tcW w:w="1110" w:type="dxa"/>
                  <w:noWrap w:val="0"/>
                  <w:vAlign w:val="center"/>
                </w:tcPr>
                <w:p w14:paraId="390940EB">
                  <w:pPr>
                    <w:keepNext w:val="0"/>
                    <w:keepLines w:val="0"/>
                    <w:suppressLineNumbers w:val="0"/>
                    <w:spacing w:before="0" w:beforeAutospacing="0" w:after="0" w:afterAutospacing="0" w:line="240" w:lineRule="auto"/>
                    <w:ind w:left="0" w:right="0"/>
                    <w:jc w:val="center"/>
                    <w:rPr>
                      <w:rFonts w:hint="eastAsia"/>
                      <w:lang w:val="en-US" w:eastAsia="zh-CN"/>
                    </w:rPr>
                  </w:pPr>
                  <w:r>
                    <w:rPr>
                      <w:rFonts w:hint="eastAsia"/>
                      <w:lang w:val="en-US" w:eastAsia="zh-CN"/>
                    </w:rPr>
                    <w:t>否</w:t>
                  </w:r>
                </w:p>
              </w:tc>
            </w:tr>
            <w:tr w14:paraId="4A92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07" w:type="dxa"/>
                  <w:noWrap w:val="0"/>
                  <w:vAlign w:val="center"/>
                </w:tcPr>
                <w:p w14:paraId="482E4ED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FF"/>
                      <w:lang w:val="en-US" w:eastAsia="zh-CN"/>
                    </w:rPr>
                  </w:pPr>
                  <w:r>
                    <w:rPr>
                      <w:rFonts w:hint="eastAsia" w:cs="Times New Roman"/>
                      <w:color w:val="auto"/>
                      <w:lang w:val="en-US" w:eastAsia="zh-CN"/>
                    </w:rPr>
                    <w:t>4</w:t>
                  </w:r>
                </w:p>
              </w:tc>
              <w:tc>
                <w:tcPr>
                  <w:tcW w:w="1140" w:type="dxa"/>
                  <w:shd w:val="clear" w:color="auto" w:fill="auto"/>
                  <w:noWrap w:val="0"/>
                  <w:vAlign w:val="center"/>
                </w:tcPr>
                <w:p w14:paraId="579D76D0">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0000FF"/>
                      <w:kern w:val="2"/>
                      <w:sz w:val="21"/>
                      <w:szCs w:val="21"/>
                      <w:lang w:val="en-US" w:eastAsia="zh-CN" w:bidi="ar-SA"/>
                    </w:rPr>
                  </w:pPr>
                  <w:r>
                    <w:rPr>
                      <w:rFonts w:hint="eastAsia" w:ascii="Times New Roman" w:hAnsi="Times New Roman" w:eastAsia="宋体" w:cs="Times New Roman"/>
                      <w:color w:val="auto"/>
                      <w:lang w:val="en-US" w:eastAsia="zh-CN"/>
                    </w:rPr>
                    <w:t>生产工艺</w:t>
                  </w:r>
                </w:p>
              </w:tc>
              <w:tc>
                <w:tcPr>
                  <w:tcW w:w="2970" w:type="dxa"/>
                  <w:noWrap w:val="0"/>
                  <w:vAlign w:val="center"/>
                </w:tcPr>
                <w:p w14:paraId="21EB7DAC">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1、收运系统；2、餐厨垃圾处理系统；3、沼气净化利用系统；   4、污水处理系统。</w:t>
                  </w:r>
                </w:p>
              </w:tc>
              <w:tc>
                <w:tcPr>
                  <w:tcW w:w="2745" w:type="dxa"/>
                  <w:noWrap w:val="0"/>
                  <w:vAlign w:val="center"/>
                </w:tcPr>
                <w:p w14:paraId="2B4E080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1、收运系统；2、餐厨垃圾处理系统；3、沼气净化利用系统；   4、污水处理系统。</w:t>
                  </w:r>
                </w:p>
              </w:tc>
              <w:tc>
                <w:tcPr>
                  <w:tcW w:w="1560" w:type="dxa"/>
                  <w:noWrap w:val="0"/>
                  <w:vAlign w:val="center"/>
                </w:tcPr>
                <w:p w14:paraId="26D4E6E5">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lang w:val="en-US" w:eastAsia="zh-CN"/>
                    </w:rPr>
                  </w:pPr>
                  <w:r>
                    <w:rPr>
                      <w:rFonts w:hint="eastAsia" w:cs="Times New Roman"/>
                      <w:lang w:val="en-US" w:eastAsia="zh-CN"/>
                    </w:rPr>
                    <w:t>未发生变化</w:t>
                  </w:r>
                </w:p>
              </w:tc>
              <w:tc>
                <w:tcPr>
                  <w:tcW w:w="1110" w:type="dxa"/>
                  <w:noWrap w:val="0"/>
                  <w:vAlign w:val="center"/>
                </w:tcPr>
                <w:p w14:paraId="451C0AF7">
                  <w:pPr>
                    <w:keepNext w:val="0"/>
                    <w:keepLines w:val="0"/>
                    <w:suppressLineNumbers w:val="0"/>
                    <w:spacing w:before="0" w:beforeAutospacing="0" w:after="0" w:afterAutospacing="0" w:line="240" w:lineRule="auto"/>
                    <w:ind w:left="0" w:leftChars="0" w:right="0" w:rightChars="0"/>
                    <w:jc w:val="center"/>
                    <w:rPr>
                      <w:rFonts w:hint="eastAsia" w:eastAsia="宋体" w:cs="Times New Roman"/>
                      <w:b w:val="0"/>
                      <w:bCs w:val="0"/>
                      <w:color w:val="000000"/>
                      <w:kern w:val="2"/>
                      <w:sz w:val="21"/>
                      <w:szCs w:val="21"/>
                      <w:highlight w:val="none"/>
                      <w:lang w:val="en-US" w:eastAsia="zh-CN" w:bidi="ar-SA"/>
                    </w:rPr>
                  </w:pPr>
                  <w:r>
                    <w:rPr>
                      <w:rFonts w:hint="eastAsia"/>
                      <w:lang w:val="en-US" w:eastAsia="zh-CN"/>
                    </w:rPr>
                    <w:t>否</w:t>
                  </w:r>
                </w:p>
              </w:tc>
            </w:tr>
            <w:tr w14:paraId="5CC3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607" w:type="dxa"/>
                  <w:noWrap w:val="0"/>
                  <w:vAlign w:val="center"/>
                </w:tcPr>
                <w:p w14:paraId="6396FC8D">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auto"/>
                      <w:lang w:val="en-US" w:eastAsia="zh-CN"/>
                    </w:rPr>
                  </w:pPr>
                  <w:r>
                    <w:rPr>
                      <w:rFonts w:hint="eastAsia" w:cs="Times New Roman"/>
                      <w:color w:val="auto"/>
                      <w:lang w:val="en-US" w:eastAsia="zh-CN"/>
                    </w:rPr>
                    <w:t>5</w:t>
                  </w:r>
                </w:p>
              </w:tc>
              <w:tc>
                <w:tcPr>
                  <w:tcW w:w="1140" w:type="dxa"/>
                  <w:shd w:val="clear" w:color="auto" w:fill="auto"/>
                  <w:noWrap w:val="0"/>
                  <w:vAlign w:val="center"/>
                </w:tcPr>
                <w:p w14:paraId="195C1EA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环保工程</w:t>
                  </w:r>
                </w:p>
              </w:tc>
              <w:tc>
                <w:tcPr>
                  <w:tcW w:w="2970" w:type="dxa"/>
                  <w:noWrap w:val="0"/>
                  <w:vAlign w:val="center"/>
                </w:tcPr>
                <w:p w14:paraId="66CE7CBE">
                  <w:pPr>
                    <w:pStyle w:val="92"/>
                    <w:spacing w:line="276" w:lineRule="auto"/>
                    <w:jc w:val="both"/>
                    <w:rPr>
                      <w:rStyle w:val="41"/>
                      <w:rFonts w:cs="Times New Roman"/>
                      <w:kern w:val="0"/>
                      <w:szCs w:val="20"/>
                    </w:rPr>
                  </w:pPr>
                  <w:r>
                    <w:rPr>
                      <w:rStyle w:val="41"/>
                      <w:rFonts w:hint="eastAsia" w:cs="Times New Roman"/>
                      <w:kern w:val="0"/>
                      <w:szCs w:val="20"/>
                    </w:rPr>
                    <w:t>餐厨垃圾处理系统废气：拟对各设备处加装集气罩收集臭气，对车间作业区全封闭，设置二道封闭措施，采用门帘处理，室内采用负压运行，臭气由风机引至碱洗喷淋塔+生物吸附床处理后通过15m高的DA001排放。</w:t>
                  </w:r>
                </w:p>
                <w:p w14:paraId="16C1A3A2">
                  <w:pPr>
                    <w:pStyle w:val="92"/>
                    <w:spacing w:line="276" w:lineRule="auto"/>
                    <w:jc w:val="both"/>
                    <w:rPr>
                      <w:kern w:val="0"/>
                    </w:rPr>
                  </w:pPr>
                  <w:r>
                    <w:rPr>
                      <w:rStyle w:val="41"/>
                      <w:rFonts w:hint="eastAsia" w:cs="Times New Roman"/>
                      <w:kern w:val="0"/>
                      <w:szCs w:val="20"/>
                    </w:rPr>
                    <w:t>接料废气：</w:t>
                  </w:r>
                  <w:r>
                    <w:rPr>
                      <w:kern w:val="0"/>
                    </w:rPr>
                    <w:t>采用植物提取液（恶臭抑制剂）高压喷雾脱臭装置定期喷淋除臭并与</w:t>
                  </w:r>
                  <w:r>
                    <w:rPr>
                      <w:rFonts w:hint="eastAsia"/>
                      <w:kern w:val="0"/>
                    </w:rPr>
                    <w:t>餐厨垃圾处理间</w:t>
                  </w:r>
                  <w:r>
                    <w:rPr>
                      <w:kern w:val="0"/>
                    </w:rPr>
                    <w:t>负压抽气系统联合使用。</w:t>
                  </w:r>
                  <w:r>
                    <w:rPr>
                      <w:rFonts w:hint="eastAsia"/>
                    </w:rPr>
                    <w:t>厌氧发酵区废气（剩余沼气）：</w:t>
                  </w:r>
                  <w:r>
                    <w:rPr>
                      <w:kern w:val="0"/>
                    </w:rPr>
                    <w:t>设1套沼气净化系统+沼气利用系统+紧急火炬。</w:t>
                  </w:r>
                </w:p>
                <w:p w14:paraId="6FDD11B1">
                  <w:pPr>
                    <w:spacing w:line="240" w:lineRule="auto"/>
                    <w:jc w:val="left"/>
                    <w:rPr>
                      <w:rFonts w:hint="eastAsia" w:ascii="Arial" w:hAnsi="Arial" w:cs="Arial"/>
                      <w:i w:val="0"/>
                      <w:iCs w:val="0"/>
                      <w:color w:val="auto"/>
                      <w:kern w:val="0"/>
                      <w:sz w:val="21"/>
                      <w:szCs w:val="21"/>
                      <w:u w:val="none"/>
                      <w:lang w:val="en-US" w:eastAsia="zh-CN" w:bidi="ar"/>
                    </w:rPr>
                  </w:pPr>
                  <w:r>
                    <w:rPr>
                      <w:rFonts w:hint="eastAsia"/>
                    </w:rPr>
                    <w:t>污水处理站废气：污水站全密闭设计，由于本项目污水处理设计工艺为厌氧工艺，仅缓慢产生少量臭气，要求在污水处理站附近增加绿植覆盖处理。热水炉燃烧废气：沼气为清洁能源，燃烧后的废气经15m高的DA002排放。</w:t>
                  </w:r>
                  <w:r>
                    <w:rPr>
                      <w:rFonts w:hint="eastAsia" w:ascii="Arial" w:hAnsi="Arial" w:cs="Arial"/>
                      <w:i w:val="0"/>
                      <w:iCs w:val="0"/>
                      <w:color w:val="auto"/>
                      <w:kern w:val="0"/>
                      <w:sz w:val="21"/>
                      <w:szCs w:val="21"/>
                      <w:u w:val="none"/>
                      <w:lang w:val="en-US" w:eastAsia="zh-CN" w:bidi="ar"/>
                    </w:rPr>
                    <w:t>定期进行消毒及杀灭蚊、蝇。</w:t>
                  </w:r>
                </w:p>
                <w:p w14:paraId="2D0B806E">
                  <w:pPr>
                    <w:spacing w:line="240" w:lineRule="auto"/>
                    <w:jc w:val="left"/>
                    <w:rPr>
                      <w:rFonts w:hint="eastAsia"/>
                    </w:rPr>
                  </w:pPr>
                  <w:r>
                    <w:rPr>
                      <w:rFonts w:hint="eastAsia"/>
                      <w:lang w:eastAsia="zh-CN"/>
                    </w:rPr>
                    <w:t>废水：</w:t>
                  </w:r>
                  <w:r>
                    <w:rPr>
                      <w:rFonts w:hint="eastAsia"/>
                    </w:rPr>
                    <w:t>生活污水经化粪池处理后，进入处理生产废水污水处理站；生产废水拟建1座污水处理站（日处理能力18m</w:t>
                  </w:r>
                  <w:r>
                    <w:rPr>
                      <w:rFonts w:hint="eastAsia"/>
                      <w:vertAlign w:val="superscript"/>
                    </w:rPr>
                    <w:t>3</w:t>
                  </w:r>
                  <w:r>
                    <w:rPr>
                      <w:rFonts w:hint="eastAsia"/>
                    </w:rPr>
                    <w:t>），设计为地上一体化装置，采用“调节池+CSTR厌氧反应器”工艺处理达污水处理协议中废水接纳标准后，排入青川县生活垃圾处理厂渗滤液处理厂。</w:t>
                  </w:r>
                </w:p>
                <w:p w14:paraId="7424F588">
                  <w:pPr>
                    <w:spacing w:line="240" w:lineRule="auto"/>
                    <w:jc w:val="left"/>
                    <w:rPr>
                      <w:rFonts w:hint="eastAsia" w:ascii="宋体" w:hAnsi="宋体" w:eastAsia="宋体" w:cs="宋体"/>
                      <w:bCs/>
                      <w:color w:val="auto"/>
                      <w:sz w:val="21"/>
                      <w:szCs w:val="21"/>
                      <w:lang w:val="en-US" w:eastAsia="zh-CN"/>
                    </w:rPr>
                  </w:pPr>
                  <w:r>
                    <w:rPr>
                      <w:rFonts w:hint="eastAsia"/>
                      <w:lang w:eastAsia="zh-CN"/>
                    </w:rPr>
                    <w:t>噪声：</w:t>
                  </w:r>
                  <w:r>
                    <w:rPr>
                      <w:rFonts w:hint="eastAsia" w:ascii="宋体" w:hAnsi="宋体" w:eastAsia="宋体" w:cs="宋体"/>
                      <w:bCs/>
                      <w:color w:val="auto"/>
                      <w:sz w:val="21"/>
                      <w:szCs w:val="21"/>
                      <w:lang w:val="en-US" w:eastAsia="zh-CN"/>
                    </w:rPr>
                    <w:t>采用隔声及合理设置厂区绿化带等措施。</w:t>
                  </w:r>
                </w:p>
                <w:p w14:paraId="0379F6B1">
                  <w:pPr>
                    <w:adjustRightInd w:val="0"/>
                    <w:snapToGrid w:val="0"/>
                    <w:spacing w:line="276" w:lineRule="auto"/>
                    <w:jc w:val="left"/>
                    <w:rPr>
                      <w:szCs w:val="21"/>
                    </w:rPr>
                  </w:pPr>
                  <w:r>
                    <w:rPr>
                      <w:rFonts w:hint="eastAsia" w:ascii="宋体" w:hAnsi="宋体" w:eastAsia="宋体" w:cs="宋体"/>
                      <w:bCs/>
                      <w:color w:val="auto"/>
                      <w:sz w:val="21"/>
                      <w:szCs w:val="21"/>
                      <w:lang w:val="en-US" w:eastAsia="zh-CN"/>
                    </w:rPr>
                    <w:t>固废：</w:t>
                  </w:r>
                  <w:r>
                    <w:rPr>
                      <w:rFonts w:hint="eastAsia"/>
                      <w:szCs w:val="21"/>
                    </w:rPr>
                    <w:t>一般工业固体废弃物：废石和废渣等杂质、沼渣、污水处理站污泥经厂内分类袋装收集后交由青川县垃圾填埋场处置统一清运并妥善处置；生活垃圾经分类袋装收集后交由当地环卫人员清运并进行妥善处置；废脱硫剂经袋装收集后由厂家定期更换回收处理。</w:t>
                  </w:r>
                </w:p>
                <w:p w14:paraId="73F0784D">
                  <w:pPr>
                    <w:pStyle w:val="2"/>
                    <w:rPr>
                      <w:rFonts w:hint="eastAsia"/>
                      <w:lang w:val="en-US" w:eastAsia="zh-CN"/>
                    </w:rPr>
                  </w:pPr>
                  <w:r>
                    <w:rPr>
                      <w:rFonts w:hint="eastAsia"/>
                      <w:szCs w:val="21"/>
                    </w:rPr>
                    <w:t>危废固体废弃物：废机油、废油桶、含油废抹布等危险废物经分类收集后，暂存于危险废物暂存间（做好防风、防雨、防晒、防渗措施），最终交由具有危废处置的资质单位进行清运及处置。</w:t>
                  </w:r>
                </w:p>
              </w:tc>
              <w:tc>
                <w:tcPr>
                  <w:tcW w:w="2745" w:type="dxa"/>
                  <w:noWrap w:val="0"/>
                  <w:vAlign w:val="center"/>
                </w:tcPr>
                <w:p w14:paraId="766FCBF4">
                  <w:pPr>
                    <w:spacing w:line="240" w:lineRule="auto"/>
                    <w:jc w:val="left"/>
                    <w:rPr>
                      <w:rFonts w:hint="eastAsia"/>
                    </w:rPr>
                  </w:pPr>
                  <w:r>
                    <w:rPr>
                      <w:rStyle w:val="41"/>
                      <w:rFonts w:hint="eastAsia" w:cs="Times New Roman"/>
                      <w:kern w:val="0"/>
                      <w:szCs w:val="20"/>
                      <w:lang w:eastAsia="zh-CN"/>
                    </w:rPr>
                    <w:t>废气：</w:t>
                  </w:r>
                  <w:r>
                    <w:rPr>
                      <w:rStyle w:val="41"/>
                      <w:rFonts w:hint="eastAsia" w:cs="Times New Roman"/>
                      <w:kern w:val="0"/>
                      <w:szCs w:val="20"/>
                    </w:rPr>
                    <w:t>餐厨垃圾处理系统废气：对各设备处加装集气罩收集臭气，对车间作业区全封闭，设置二道封闭措施，采用门帘处理，室内采用负压运行，臭气由风机引至碱洗喷淋塔+生物吸附床处理后通过15m高的DA001排放。接料废气：</w:t>
                  </w:r>
                  <w:r>
                    <w:rPr>
                      <w:kern w:val="0"/>
                    </w:rPr>
                    <w:t>采用植物提取液（恶臭抑制剂）高压喷雾脱臭装置定期喷淋除臭并与</w:t>
                  </w:r>
                  <w:r>
                    <w:rPr>
                      <w:rFonts w:hint="eastAsia"/>
                      <w:kern w:val="0"/>
                    </w:rPr>
                    <w:t>餐厨垃圾处理间</w:t>
                  </w:r>
                  <w:r>
                    <w:rPr>
                      <w:kern w:val="0"/>
                    </w:rPr>
                    <w:t>负压抽气系统联合使用。</w:t>
                  </w:r>
                  <w:r>
                    <w:rPr>
                      <w:rFonts w:hint="eastAsia"/>
                    </w:rPr>
                    <w:t>厌氧发酵区废气（剩余沼气）：</w:t>
                  </w:r>
                  <w:r>
                    <w:rPr>
                      <w:kern w:val="0"/>
                    </w:rPr>
                    <w:t>设1套沼气净化系统+沼气利用系统+紧急火炬。</w:t>
                  </w:r>
                  <w:r>
                    <w:rPr>
                      <w:rFonts w:hint="eastAsia"/>
                    </w:rPr>
                    <w:t>污水处理站废气：污水站全密闭设计，由于本项目污水处理设计工艺为厌氧工艺，仅缓慢产生少量臭气，要求在污水处理站附近增加绿植覆盖处理。热水炉燃烧废气：燃烧后的废气经</w:t>
                  </w:r>
                  <w:r>
                    <w:rPr>
                      <w:rFonts w:hint="eastAsia"/>
                      <w:lang w:val="en-US" w:eastAsia="zh-CN"/>
                    </w:rPr>
                    <w:t>8</w:t>
                  </w:r>
                  <w:r>
                    <w:rPr>
                      <w:rFonts w:hint="eastAsia"/>
                    </w:rPr>
                    <w:t>m高的DA002排放。</w:t>
                  </w:r>
                </w:p>
                <w:p w14:paraId="0CDD1AF6">
                  <w:pPr>
                    <w:spacing w:line="240" w:lineRule="auto"/>
                    <w:jc w:val="left"/>
                    <w:rPr>
                      <w:rFonts w:hint="eastAsia"/>
                    </w:rPr>
                  </w:pPr>
                  <w:r>
                    <w:rPr>
                      <w:rFonts w:hint="eastAsia"/>
                      <w:lang w:eastAsia="zh-CN"/>
                    </w:rPr>
                    <w:t>废水：</w:t>
                  </w:r>
                  <w:r>
                    <w:rPr>
                      <w:rFonts w:hint="eastAsia"/>
                    </w:rPr>
                    <w:t>生活污水经化粪池处理后，</w:t>
                  </w:r>
                  <w:r>
                    <w:rPr>
                      <w:rFonts w:hint="eastAsia"/>
                      <w:lang w:eastAsia="zh-CN"/>
                    </w:rPr>
                    <w:t>定期</w:t>
                  </w:r>
                  <w:r>
                    <w:rPr>
                      <w:rFonts w:hint="eastAsia"/>
                    </w:rPr>
                    <w:t>排入青川县生活垃圾处理厂渗滤液处理厂。生产废水建</w:t>
                  </w:r>
                  <w:r>
                    <w:rPr>
                      <w:rFonts w:hint="eastAsia"/>
                      <w:lang w:eastAsia="zh-CN"/>
                    </w:rPr>
                    <w:t>设</w:t>
                  </w:r>
                  <w:r>
                    <w:rPr>
                      <w:rFonts w:hint="eastAsia"/>
                    </w:rPr>
                    <w:t>1座污水处理站（日处理能力18m</w:t>
                  </w:r>
                  <w:r>
                    <w:rPr>
                      <w:rFonts w:hint="eastAsia"/>
                      <w:vertAlign w:val="superscript"/>
                    </w:rPr>
                    <w:t>3</w:t>
                  </w:r>
                  <w:r>
                    <w:rPr>
                      <w:rFonts w:hint="eastAsia"/>
                    </w:rPr>
                    <w:t>），设计为地上一体化装置，采用“调节池+CSTR厌氧反应器”工艺处理达污水处理协议中废水接纳标准后，排入青川县生活垃圾处理厂渗滤液处理厂。</w:t>
                  </w:r>
                </w:p>
                <w:p w14:paraId="5D9E480B">
                  <w:pPr>
                    <w:spacing w:line="240" w:lineRule="auto"/>
                    <w:jc w:val="left"/>
                    <w:rPr>
                      <w:rFonts w:hint="eastAsia" w:ascii="宋体" w:hAnsi="宋体" w:eastAsia="宋体" w:cs="宋体"/>
                      <w:bCs/>
                      <w:color w:val="auto"/>
                      <w:sz w:val="21"/>
                      <w:szCs w:val="21"/>
                      <w:lang w:val="en-US" w:eastAsia="zh-CN"/>
                    </w:rPr>
                  </w:pPr>
                  <w:r>
                    <w:rPr>
                      <w:rFonts w:hint="eastAsia"/>
                      <w:lang w:eastAsia="zh-CN"/>
                    </w:rPr>
                    <w:t>噪声：</w:t>
                  </w:r>
                  <w:r>
                    <w:rPr>
                      <w:rFonts w:hint="eastAsia" w:ascii="宋体" w:hAnsi="宋体" w:eastAsia="宋体" w:cs="宋体"/>
                      <w:bCs/>
                      <w:color w:val="auto"/>
                      <w:sz w:val="21"/>
                      <w:szCs w:val="21"/>
                      <w:lang w:val="en-US" w:eastAsia="zh-CN"/>
                    </w:rPr>
                    <w:t>采用隔声及合理设置厂区绿化带等措施。</w:t>
                  </w:r>
                </w:p>
                <w:p w14:paraId="13BB7A89">
                  <w:pPr>
                    <w:pStyle w:val="2"/>
                    <w:rPr>
                      <w:rFonts w:hint="eastAsia"/>
                      <w:lang w:val="en-US" w:eastAsia="zh-CN"/>
                    </w:rPr>
                  </w:pPr>
                  <w:r>
                    <w:rPr>
                      <w:rFonts w:hint="eastAsia"/>
                      <w:szCs w:val="21"/>
                      <w:lang w:eastAsia="zh-CN"/>
                    </w:rPr>
                    <w:t>固废：</w:t>
                  </w:r>
                  <w:r>
                    <w:rPr>
                      <w:rFonts w:hint="eastAsia"/>
                      <w:szCs w:val="21"/>
                    </w:rPr>
                    <w:t>一般工业固体废弃物：废石和废渣等杂质、沼渣、污水处理站污泥经厂内分类收集后交由青川县垃圾填埋场处置统一清运并妥善处置；生活垃圾经分类收集后交由当地环卫人员清运并进行妥善处置；废脱硫剂经袋装收集后由厂家定期更换回收处理。</w:t>
                  </w:r>
                </w:p>
                <w:p w14:paraId="2B992DB3">
                  <w:pPr>
                    <w:pStyle w:val="2"/>
                    <w:rPr>
                      <w:rFonts w:hint="eastAsia"/>
                      <w:lang w:val="en-US" w:eastAsia="zh-CN"/>
                    </w:rPr>
                  </w:pPr>
                </w:p>
              </w:tc>
              <w:tc>
                <w:tcPr>
                  <w:tcW w:w="1560" w:type="dxa"/>
                  <w:noWrap w:val="0"/>
                  <w:vAlign w:val="center"/>
                </w:tcPr>
                <w:p w14:paraId="49A496EF">
                  <w:pPr>
                    <w:pStyle w:val="2"/>
                    <w:rPr>
                      <w:rFonts w:hint="eastAsia"/>
                      <w:lang w:val="en-US" w:eastAsia="zh-CN"/>
                    </w:rPr>
                  </w:pPr>
                  <w:r>
                    <w:rPr>
                      <w:rFonts w:hint="eastAsia"/>
                    </w:rPr>
                    <w:t>热水炉燃烧废气</w:t>
                  </w:r>
                  <w:r>
                    <w:rPr>
                      <w:rFonts w:hint="eastAsia"/>
                      <w:lang w:eastAsia="zh-CN"/>
                    </w:rPr>
                    <w:t>改为燃油，</w:t>
                  </w:r>
                  <w:r>
                    <w:rPr>
                      <w:rFonts w:hint="eastAsia"/>
                    </w:rPr>
                    <w:t>燃烧后的废气经</w:t>
                  </w:r>
                  <w:r>
                    <w:rPr>
                      <w:rFonts w:hint="eastAsia"/>
                      <w:lang w:val="en-US" w:eastAsia="zh-CN"/>
                    </w:rPr>
                    <w:t>8</w:t>
                  </w:r>
                  <w:r>
                    <w:rPr>
                      <w:rFonts w:hint="eastAsia"/>
                    </w:rPr>
                    <w:t>m高的DA002排放。生活污水经化粪池处理后，</w:t>
                  </w:r>
                  <w:r>
                    <w:rPr>
                      <w:rFonts w:hint="eastAsia"/>
                      <w:lang w:eastAsia="zh-CN"/>
                    </w:rPr>
                    <w:t>定期</w:t>
                  </w:r>
                  <w:r>
                    <w:rPr>
                      <w:rFonts w:hint="eastAsia"/>
                    </w:rPr>
                    <w:t>排入青川县生活垃圾处理厂渗滤液处理厂。</w:t>
                  </w:r>
                  <w:r>
                    <w:rPr>
                      <w:rFonts w:hint="eastAsia" w:cs="Times New Roman"/>
                      <w:lang w:eastAsia="zh-CN"/>
                    </w:rPr>
                    <w:t>厂区危废产生量少，与青川县金扳手汽车维修有限公司签有机修协议，未设</w:t>
                  </w:r>
                  <w:r>
                    <w:rPr>
                      <w:rFonts w:hint="eastAsia"/>
                      <w:color w:val="auto"/>
                      <w:lang w:eastAsia="zh-CN"/>
                    </w:rPr>
                    <w:t>危废暂存间</w:t>
                  </w:r>
                </w:p>
              </w:tc>
              <w:tc>
                <w:tcPr>
                  <w:tcW w:w="1110" w:type="dxa"/>
                  <w:noWrap w:val="0"/>
                  <w:vAlign w:val="center"/>
                </w:tcPr>
                <w:p w14:paraId="5C28A039">
                  <w:pPr>
                    <w:keepNext w:val="0"/>
                    <w:keepLines w:val="0"/>
                    <w:suppressLineNumbers w:val="0"/>
                    <w:spacing w:before="0" w:beforeAutospacing="0" w:after="0" w:afterAutospacing="0" w:line="240" w:lineRule="auto"/>
                    <w:ind w:left="0" w:leftChars="0" w:right="0" w:rightChars="0"/>
                    <w:jc w:val="center"/>
                    <w:rPr>
                      <w:rFonts w:hint="eastAsia"/>
                      <w:lang w:val="en-US" w:eastAsia="zh-CN"/>
                    </w:rPr>
                  </w:pPr>
                  <w:r>
                    <w:rPr>
                      <w:rFonts w:hint="eastAsia"/>
                      <w:lang w:val="en-US" w:eastAsia="zh-CN"/>
                    </w:rPr>
                    <w:t>否</w:t>
                  </w:r>
                </w:p>
              </w:tc>
            </w:tr>
          </w:tbl>
          <w:p w14:paraId="1DF486C8">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b/>
                <w:bCs/>
                <w:color w:val="auto"/>
                <w:sz w:val="21"/>
                <w:szCs w:val="21"/>
                <w:lang w:val="en-US" w:eastAsia="zh-CN"/>
              </w:rPr>
              <w:t>表2-5  项目变动</w:t>
            </w:r>
            <w:r>
              <w:rPr>
                <w:rFonts w:hint="eastAsia" w:ascii="Times New Roman" w:hAnsi="Times New Roman" w:cs="Times New Roman"/>
                <w:b/>
                <w:bCs/>
                <w:color w:val="auto"/>
                <w:sz w:val="21"/>
                <w:szCs w:val="21"/>
                <w:lang w:val="en-US" w:eastAsia="zh-CN"/>
              </w:rPr>
              <w:t>情况</w:t>
            </w:r>
            <w:r>
              <w:rPr>
                <w:rFonts w:hint="default" w:ascii="Times New Roman" w:hAnsi="Times New Roman" w:cs="Times New Roman"/>
                <w:b/>
                <w:bCs/>
                <w:color w:val="auto"/>
                <w:sz w:val="21"/>
                <w:szCs w:val="21"/>
                <w:lang w:val="en-US" w:eastAsia="zh-CN"/>
              </w:rPr>
              <w:t>一览表</w:t>
            </w:r>
          </w:p>
          <w:p w14:paraId="52F0A4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根据《关于印发环评管理中部分行业建设项目重大变动清单的通知》（环办[2015]52号）、《关于印发制浆造纸等十四个行业建设项目重大变动清单的通知》（环办[2018]6号）、《关于印发污染影响类建设项目重大变动清单（试行）的通知》（环办环评函[2020]688号）相关规定，本项目</w:t>
            </w:r>
            <w:r>
              <w:rPr>
                <w:rFonts w:hint="eastAsia" w:ascii="Times New Roman" w:hAnsi="Times New Roman" w:cs="Times New Roman"/>
                <w:color w:val="auto"/>
                <w:sz w:val="24"/>
                <w:szCs w:val="24"/>
                <w:lang w:val="en-US" w:eastAsia="zh-CN"/>
              </w:rPr>
              <w:t>性质、地点、规模、生产工艺、环保工程等建设内容未发生</w:t>
            </w:r>
            <w:r>
              <w:rPr>
                <w:rFonts w:hint="default" w:ascii="Times New Roman" w:hAnsi="Times New Roman" w:cs="Times New Roman"/>
                <w:color w:val="auto"/>
                <w:sz w:val="24"/>
                <w:szCs w:val="24"/>
              </w:rPr>
              <w:t>重大变动</w:t>
            </w:r>
            <w:r>
              <w:rPr>
                <w:rFonts w:hint="eastAsia" w:ascii="Times New Roman" w:hAnsi="Times New Roman" w:cs="Times New Roman"/>
                <w:color w:val="auto"/>
                <w:sz w:val="24"/>
                <w:szCs w:val="24"/>
                <w:lang w:eastAsia="zh-CN"/>
              </w:rPr>
              <w:t>。</w:t>
            </w:r>
          </w:p>
          <w:p w14:paraId="0319D690">
            <w:pPr>
              <w:pStyle w:val="5"/>
              <w:numPr>
                <w:ilvl w:val="2"/>
                <w:numId w:val="0"/>
              </w:numPr>
              <w:spacing w:beforeAutospacing="0" w:afterAutospacing="0"/>
            </w:pPr>
            <w:r>
              <w:rPr>
                <w:rFonts w:hint="eastAsia" w:ascii="Times New Roman" w:hAnsi="Times New Roman" w:cs="Times New Roman"/>
                <w:lang w:val="en-US" w:eastAsia="zh-CN"/>
              </w:rPr>
              <w:t>5、</w:t>
            </w:r>
            <w:r>
              <w:rPr>
                <w:rFonts w:hint="default" w:ascii="Times New Roman" w:hAnsi="Times New Roman" w:cs="Times New Roman"/>
              </w:rPr>
              <w:t>与《污染影响类建设项目重大变动清单》对照分析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4608"/>
              <w:gridCol w:w="2688"/>
              <w:gridCol w:w="399"/>
              <w:gridCol w:w="1644"/>
              <w:gridCol w:w="135"/>
            </w:tblGrid>
            <w:tr w14:paraId="337B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35" w:type="dxa"/>
                <w:jc w:val="center"/>
              </w:trPr>
              <w:tc>
                <w:tcPr>
                  <w:tcW w:w="1122" w:type="dxa"/>
                  <w:noWrap w:val="0"/>
                  <w:vAlign w:val="center"/>
                </w:tcPr>
                <w:p w14:paraId="436B1226">
                  <w:pPr>
                    <w:pStyle w:val="91"/>
                    <w:spacing w:line="276" w:lineRule="auto"/>
                    <w:ind w:firstLine="0" w:firstLineChars="0"/>
                    <w:jc w:val="center"/>
                    <w:rPr>
                      <w:rFonts w:hint="default" w:ascii="Times New Roman" w:hAnsi="Times New Roman" w:eastAsia="宋体" w:cs="Times New Roman"/>
                      <w:b/>
                      <w:bCs w:val="0"/>
                      <w:sz w:val="21"/>
                      <w:szCs w:val="21"/>
                      <w:lang w:val="en-US" w:eastAsia="zh-CN"/>
                    </w:rPr>
                  </w:pPr>
                  <w:r>
                    <w:rPr>
                      <w:rFonts w:hint="eastAsia" w:ascii="Times New Roman" w:hAnsi="Times New Roman" w:eastAsia="宋体" w:cs="Times New Roman"/>
                      <w:b/>
                      <w:bCs w:val="0"/>
                      <w:sz w:val="21"/>
                      <w:szCs w:val="21"/>
                      <w:lang w:val="en-US" w:eastAsia="zh-CN"/>
                    </w:rPr>
                    <w:t>分类</w:t>
                  </w:r>
                </w:p>
              </w:tc>
              <w:tc>
                <w:tcPr>
                  <w:tcW w:w="4608" w:type="dxa"/>
                  <w:noWrap w:val="0"/>
                  <w:vAlign w:val="center"/>
                </w:tcPr>
                <w:p w14:paraId="6CE469EF">
                  <w:pPr>
                    <w:pStyle w:val="91"/>
                    <w:spacing w:line="276" w:lineRule="auto"/>
                    <w:ind w:firstLine="0" w:firstLineChars="0"/>
                    <w:jc w:val="center"/>
                    <w:rPr>
                      <w:rFonts w:hint="eastAsia" w:ascii="Times New Roman" w:hAnsi="Times New Roman" w:eastAsia="宋体" w:cs="Times New Roman"/>
                      <w:b/>
                      <w:bCs w:val="0"/>
                      <w:sz w:val="21"/>
                      <w:szCs w:val="21"/>
                      <w:lang w:val="en-US" w:eastAsia="zh-CN"/>
                    </w:rPr>
                  </w:pPr>
                  <w:r>
                    <w:rPr>
                      <w:rFonts w:hint="default" w:ascii="Times New Roman" w:hAnsi="Times New Roman" w:cs="Times New Roman"/>
                    </w:rPr>
                    <w:t>污染影响类建设项目重大变动清单</w:t>
                  </w:r>
                  <w:r>
                    <w:rPr>
                      <w:rFonts w:hint="eastAsia" w:ascii="Times New Roman" w:hAnsi="Times New Roman" w:cs="Times New Roman"/>
                      <w:lang w:eastAsia="zh-CN"/>
                    </w:rPr>
                    <w:t>试行条款</w:t>
                  </w:r>
                </w:p>
              </w:tc>
              <w:tc>
                <w:tcPr>
                  <w:tcW w:w="3087" w:type="dxa"/>
                  <w:gridSpan w:val="2"/>
                  <w:noWrap w:val="0"/>
                  <w:vAlign w:val="center"/>
                </w:tcPr>
                <w:p w14:paraId="77E652D1">
                  <w:pPr>
                    <w:pStyle w:val="91"/>
                    <w:spacing w:line="276" w:lineRule="auto"/>
                    <w:ind w:firstLine="0" w:firstLineChars="0"/>
                    <w:jc w:val="center"/>
                    <w:rPr>
                      <w:rFonts w:hint="default" w:ascii="Times New Roman" w:hAnsi="Times New Roman" w:eastAsia="宋体" w:cs="Times New Roman"/>
                      <w:b/>
                      <w:bCs w:val="0"/>
                      <w:sz w:val="21"/>
                      <w:szCs w:val="21"/>
                      <w:lang w:val="en-US" w:eastAsia="zh-CN"/>
                    </w:rPr>
                  </w:pPr>
                  <w:r>
                    <w:rPr>
                      <w:rFonts w:hint="eastAsia" w:cs="Times New Roman"/>
                      <w:b/>
                      <w:bCs w:val="0"/>
                      <w:sz w:val="21"/>
                      <w:szCs w:val="21"/>
                      <w:lang w:val="en-US" w:eastAsia="zh-CN"/>
                    </w:rPr>
                    <w:t>本项目</w:t>
                  </w:r>
                  <w:r>
                    <w:rPr>
                      <w:rFonts w:hint="eastAsia" w:ascii="Times New Roman" w:hAnsi="Times New Roman" w:eastAsia="宋体" w:cs="Times New Roman"/>
                      <w:b/>
                      <w:bCs w:val="0"/>
                      <w:sz w:val="21"/>
                      <w:szCs w:val="21"/>
                      <w:lang w:val="en-US" w:eastAsia="zh-CN"/>
                    </w:rPr>
                    <w:t>变动情况</w:t>
                  </w:r>
                </w:p>
              </w:tc>
              <w:tc>
                <w:tcPr>
                  <w:tcW w:w="1644" w:type="dxa"/>
                  <w:noWrap w:val="0"/>
                  <w:vAlign w:val="center"/>
                </w:tcPr>
                <w:p w14:paraId="6F062CE8">
                  <w:pPr>
                    <w:pStyle w:val="91"/>
                    <w:spacing w:line="276" w:lineRule="auto"/>
                    <w:ind w:firstLine="0" w:firstLineChars="0"/>
                    <w:jc w:val="center"/>
                    <w:rPr>
                      <w:rFonts w:hint="eastAsia" w:ascii="Times New Roman" w:hAnsi="Times New Roman" w:eastAsia="宋体" w:cs="Times New Roman"/>
                      <w:b/>
                      <w:bCs w:val="0"/>
                      <w:sz w:val="21"/>
                      <w:szCs w:val="21"/>
                      <w:lang w:val="en-US" w:eastAsia="zh-CN"/>
                    </w:rPr>
                  </w:pPr>
                  <w:r>
                    <w:rPr>
                      <w:rFonts w:hint="eastAsia" w:ascii="Times New Roman" w:hAnsi="Times New Roman" w:eastAsia="宋体" w:cs="Times New Roman"/>
                      <w:b/>
                      <w:bCs w:val="0"/>
                      <w:sz w:val="21"/>
                      <w:szCs w:val="21"/>
                      <w:lang w:val="en-US" w:eastAsia="zh-CN"/>
                    </w:rPr>
                    <w:t>是否属于</w:t>
                  </w:r>
                </w:p>
                <w:p w14:paraId="4C475793">
                  <w:pPr>
                    <w:pStyle w:val="91"/>
                    <w:spacing w:line="276" w:lineRule="auto"/>
                    <w:ind w:firstLine="0" w:firstLineChars="0"/>
                    <w:jc w:val="center"/>
                    <w:rPr>
                      <w:rFonts w:hint="default" w:ascii="Times New Roman" w:hAnsi="Times New Roman" w:eastAsia="宋体" w:cs="Times New Roman"/>
                      <w:b/>
                      <w:bCs w:val="0"/>
                      <w:sz w:val="21"/>
                      <w:szCs w:val="21"/>
                      <w:lang w:val="en-US" w:eastAsia="zh-CN"/>
                    </w:rPr>
                  </w:pPr>
                  <w:r>
                    <w:rPr>
                      <w:rFonts w:hint="eastAsia" w:ascii="Times New Roman" w:hAnsi="Times New Roman" w:eastAsia="宋体" w:cs="Times New Roman"/>
                      <w:b/>
                      <w:bCs w:val="0"/>
                      <w:sz w:val="21"/>
                      <w:szCs w:val="21"/>
                      <w:lang w:val="en-US" w:eastAsia="zh-CN"/>
                    </w:rPr>
                    <w:t>重大变动</w:t>
                  </w:r>
                </w:p>
              </w:tc>
            </w:tr>
            <w:tr w14:paraId="084C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noWrap w:val="0"/>
                  <w:vAlign w:val="center"/>
                </w:tcPr>
                <w:p w14:paraId="110B679E">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性质</w:t>
                  </w:r>
                </w:p>
              </w:tc>
              <w:tc>
                <w:tcPr>
                  <w:tcW w:w="4608" w:type="dxa"/>
                  <w:noWrap w:val="0"/>
                  <w:vAlign w:val="center"/>
                </w:tcPr>
                <w:p w14:paraId="79CE9EC5">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建设项目开发、使用功能发生变化的</w:t>
                  </w:r>
                </w:p>
              </w:tc>
              <w:tc>
                <w:tcPr>
                  <w:tcW w:w="3087" w:type="dxa"/>
                  <w:gridSpan w:val="2"/>
                  <w:noWrap w:val="0"/>
                  <w:vAlign w:val="center"/>
                </w:tcPr>
                <w:p w14:paraId="4954D02D">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使用功能</w:t>
                  </w:r>
                  <w:r>
                    <w:rPr>
                      <w:rFonts w:hint="eastAsia" w:ascii="Times New Roman" w:hAnsi="Times New Roman" w:eastAsia="宋体" w:cs="Times New Roman"/>
                      <w:bCs/>
                      <w:sz w:val="21"/>
                      <w:szCs w:val="21"/>
                      <w:lang w:val="en-US" w:eastAsia="zh-CN"/>
                    </w:rPr>
                    <w:t>未</w:t>
                  </w:r>
                  <w:r>
                    <w:rPr>
                      <w:rFonts w:hint="default" w:ascii="Times New Roman" w:hAnsi="Times New Roman" w:eastAsia="宋体" w:cs="Times New Roman"/>
                      <w:bCs/>
                      <w:sz w:val="21"/>
                      <w:szCs w:val="21"/>
                      <w:lang w:val="en-US" w:eastAsia="zh-CN"/>
                    </w:rPr>
                    <w:t>发生变化</w:t>
                  </w:r>
                </w:p>
              </w:tc>
              <w:tc>
                <w:tcPr>
                  <w:tcW w:w="1644" w:type="dxa"/>
                  <w:noWrap w:val="0"/>
                  <w:vAlign w:val="center"/>
                </w:tcPr>
                <w:p w14:paraId="09BA542D">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19E4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restart"/>
                  <w:noWrap w:val="0"/>
                  <w:vAlign w:val="center"/>
                </w:tcPr>
                <w:p w14:paraId="35DA4E5A">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规模</w:t>
                  </w:r>
                </w:p>
              </w:tc>
              <w:tc>
                <w:tcPr>
                  <w:tcW w:w="4608" w:type="dxa"/>
                  <w:noWrap w:val="0"/>
                  <w:vAlign w:val="center"/>
                </w:tcPr>
                <w:p w14:paraId="7128D709">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生产、处置或储存能力增大30%及以上的</w:t>
                  </w:r>
                </w:p>
              </w:tc>
              <w:tc>
                <w:tcPr>
                  <w:tcW w:w="3087" w:type="dxa"/>
                  <w:gridSpan w:val="2"/>
                  <w:noWrap w:val="0"/>
                  <w:vAlign w:val="center"/>
                </w:tcPr>
                <w:p w14:paraId="036A9692">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生产规模未增大</w:t>
                  </w:r>
                </w:p>
              </w:tc>
              <w:tc>
                <w:tcPr>
                  <w:tcW w:w="1644" w:type="dxa"/>
                  <w:noWrap w:val="0"/>
                  <w:vAlign w:val="center"/>
                </w:tcPr>
                <w:p w14:paraId="7B561C7C">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6481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556" w:hRule="atLeast"/>
                <w:jc w:val="center"/>
              </w:trPr>
              <w:tc>
                <w:tcPr>
                  <w:tcW w:w="1122" w:type="dxa"/>
                  <w:vMerge w:val="continue"/>
                  <w:noWrap w:val="0"/>
                  <w:vAlign w:val="center"/>
                </w:tcPr>
                <w:p w14:paraId="0C961DEF">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1C77B34D">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生产、处置或储存能力增大，导致废水第一类污染物排放量增加的</w:t>
                  </w:r>
                </w:p>
              </w:tc>
              <w:tc>
                <w:tcPr>
                  <w:tcW w:w="3087" w:type="dxa"/>
                  <w:gridSpan w:val="2"/>
                  <w:noWrap w:val="0"/>
                  <w:vAlign w:val="center"/>
                </w:tcPr>
                <w:p w14:paraId="760A1A13">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生产、处置或储存能力</w:t>
                  </w:r>
                  <w:r>
                    <w:rPr>
                      <w:rFonts w:hint="eastAsia" w:ascii="Times New Roman" w:hAnsi="Times New Roman" w:eastAsia="宋体" w:cs="Times New Roman"/>
                      <w:bCs/>
                      <w:sz w:val="21"/>
                      <w:szCs w:val="21"/>
                      <w:lang w:val="en-US" w:eastAsia="zh-CN"/>
                    </w:rPr>
                    <w:t>未</w:t>
                  </w:r>
                  <w:r>
                    <w:rPr>
                      <w:rFonts w:hint="default" w:ascii="Times New Roman" w:hAnsi="Times New Roman" w:eastAsia="宋体" w:cs="Times New Roman"/>
                      <w:bCs/>
                      <w:sz w:val="21"/>
                      <w:szCs w:val="21"/>
                      <w:lang w:val="en-US" w:eastAsia="zh-CN"/>
                    </w:rPr>
                    <w:t>增大</w:t>
                  </w:r>
                </w:p>
              </w:tc>
              <w:tc>
                <w:tcPr>
                  <w:tcW w:w="1644" w:type="dxa"/>
                  <w:noWrap w:val="0"/>
                  <w:vAlign w:val="center"/>
                </w:tcPr>
                <w:p w14:paraId="34564861">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4BF6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5C22A050">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35214CA9">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3087" w:type="dxa"/>
                  <w:gridSpan w:val="2"/>
                  <w:noWrap w:val="0"/>
                  <w:vAlign w:val="center"/>
                </w:tcPr>
                <w:p w14:paraId="5648ABF3">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本项目</w:t>
                  </w:r>
                  <w:r>
                    <w:rPr>
                      <w:rFonts w:hint="default" w:ascii="Times New Roman" w:hAnsi="Times New Roman" w:eastAsia="宋体" w:cs="Times New Roman"/>
                      <w:bCs/>
                      <w:sz w:val="21"/>
                      <w:szCs w:val="21"/>
                      <w:lang w:val="en-US" w:eastAsia="zh-CN"/>
                    </w:rPr>
                    <w:t>位于环境质量达标区</w:t>
                  </w:r>
                </w:p>
              </w:tc>
              <w:tc>
                <w:tcPr>
                  <w:tcW w:w="1644" w:type="dxa"/>
                  <w:noWrap w:val="0"/>
                  <w:vAlign w:val="center"/>
                </w:tcPr>
                <w:p w14:paraId="4C082D68">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61C2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noWrap w:val="0"/>
                  <w:vAlign w:val="center"/>
                </w:tcPr>
                <w:p w14:paraId="311532B4">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地点</w:t>
                  </w:r>
                </w:p>
              </w:tc>
              <w:tc>
                <w:tcPr>
                  <w:tcW w:w="4608" w:type="dxa"/>
                  <w:noWrap w:val="0"/>
                  <w:vAlign w:val="center"/>
                </w:tcPr>
                <w:p w14:paraId="153D10E3">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重新选址；在原厂址附近调整（包括总平面布置变化）导致环境防护距离范围变化且新增敏感点的。</w:t>
                  </w:r>
                </w:p>
              </w:tc>
              <w:tc>
                <w:tcPr>
                  <w:tcW w:w="3087" w:type="dxa"/>
                  <w:gridSpan w:val="2"/>
                  <w:noWrap w:val="0"/>
                  <w:vAlign w:val="center"/>
                </w:tcPr>
                <w:p w14:paraId="572A98F0">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本项目未重新选址</w:t>
                  </w:r>
                </w:p>
              </w:tc>
              <w:tc>
                <w:tcPr>
                  <w:tcW w:w="1644" w:type="dxa"/>
                  <w:noWrap w:val="0"/>
                  <w:vAlign w:val="center"/>
                </w:tcPr>
                <w:p w14:paraId="4EE6E132">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6DFA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restart"/>
                  <w:noWrap w:val="0"/>
                  <w:vAlign w:val="center"/>
                </w:tcPr>
                <w:p w14:paraId="0F598180">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生产工艺</w:t>
                  </w:r>
                </w:p>
              </w:tc>
              <w:tc>
                <w:tcPr>
                  <w:tcW w:w="4608" w:type="dxa"/>
                  <w:vMerge w:val="restart"/>
                  <w:noWrap w:val="0"/>
                  <w:vAlign w:val="center"/>
                </w:tcPr>
                <w:p w14:paraId="0865D8EB">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新增产品品种或生产工艺（含主要生产装置、设备及配套设施）、主要原辅材料、燃料变化、导致一下情形之一</w:t>
                  </w:r>
                </w:p>
              </w:tc>
              <w:tc>
                <w:tcPr>
                  <w:tcW w:w="2688" w:type="dxa"/>
                  <w:noWrap w:val="0"/>
                  <w:vAlign w:val="center"/>
                </w:tcPr>
                <w:p w14:paraId="1176D946">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新增排放污染物种类的（毒性、挥发性降低的除外）</w:t>
                  </w:r>
                </w:p>
              </w:tc>
              <w:tc>
                <w:tcPr>
                  <w:tcW w:w="399" w:type="dxa"/>
                  <w:noWrap w:val="0"/>
                  <w:vAlign w:val="center"/>
                </w:tcPr>
                <w:p w14:paraId="6C7181F3">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779" w:type="dxa"/>
                  <w:gridSpan w:val="2"/>
                  <w:noWrap w:val="0"/>
                  <w:vAlign w:val="center"/>
                </w:tcPr>
                <w:p w14:paraId="398AA70F">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0197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noWrap w:val="0"/>
                  <w:vAlign w:val="center"/>
                </w:tcPr>
                <w:p w14:paraId="2C7FB699">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vMerge w:val="continue"/>
                  <w:noWrap w:val="0"/>
                  <w:vAlign w:val="center"/>
                </w:tcPr>
                <w:p w14:paraId="299466DB">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2688" w:type="dxa"/>
                  <w:noWrap w:val="0"/>
                  <w:vAlign w:val="center"/>
                </w:tcPr>
                <w:p w14:paraId="0CCAB174">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位于环境质量不达标区的建设项目相应污染物排放量增加的</w:t>
                  </w:r>
                </w:p>
              </w:tc>
              <w:tc>
                <w:tcPr>
                  <w:tcW w:w="399" w:type="dxa"/>
                  <w:noWrap w:val="0"/>
                  <w:vAlign w:val="center"/>
                </w:tcPr>
                <w:p w14:paraId="36A6505D">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779" w:type="dxa"/>
                  <w:gridSpan w:val="2"/>
                  <w:noWrap w:val="0"/>
                  <w:vAlign w:val="center"/>
                </w:tcPr>
                <w:p w14:paraId="0D3EF182">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56DF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noWrap w:val="0"/>
                  <w:vAlign w:val="center"/>
                </w:tcPr>
                <w:p w14:paraId="28759CBA">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vMerge w:val="continue"/>
                  <w:noWrap w:val="0"/>
                  <w:vAlign w:val="center"/>
                </w:tcPr>
                <w:p w14:paraId="227F631B">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2688" w:type="dxa"/>
                  <w:noWrap w:val="0"/>
                  <w:vAlign w:val="center"/>
                </w:tcPr>
                <w:p w14:paraId="73E25FDA">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废水第一类污染物排放量增加的</w:t>
                  </w:r>
                </w:p>
              </w:tc>
              <w:tc>
                <w:tcPr>
                  <w:tcW w:w="399" w:type="dxa"/>
                  <w:noWrap w:val="0"/>
                  <w:vAlign w:val="center"/>
                </w:tcPr>
                <w:p w14:paraId="6F32592A">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779" w:type="dxa"/>
                  <w:gridSpan w:val="2"/>
                  <w:noWrap w:val="0"/>
                  <w:vAlign w:val="center"/>
                </w:tcPr>
                <w:p w14:paraId="446CFF78">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4B0F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noWrap w:val="0"/>
                  <w:vAlign w:val="center"/>
                </w:tcPr>
                <w:p w14:paraId="48B05C1B">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vMerge w:val="continue"/>
                  <w:noWrap w:val="0"/>
                  <w:vAlign w:val="center"/>
                </w:tcPr>
                <w:p w14:paraId="70F5860D">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2688" w:type="dxa"/>
                  <w:noWrap w:val="0"/>
                  <w:vAlign w:val="center"/>
                </w:tcPr>
                <w:p w14:paraId="02C13D17">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其他污染物排放量增加10%及以上的</w:t>
                  </w:r>
                </w:p>
              </w:tc>
              <w:tc>
                <w:tcPr>
                  <w:tcW w:w="399" w:type="dxa"/>
                  <w:noWrap w:val="0"/>
                  <w:vAlign w:val="center"/>
                </w:tcPr>
                <w:p w14:paraId="0703E1EC">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779" w:type="dxa"/>
                  <w:gridSpan w:val="2"/>
                  <w:noWrap w:val="0"/>
                  <w:vAlign w:val="center"/>
                </w:tcPr>
                <w:p w14:paraId="79CA0F63">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26F4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60A06289">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2B943907">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物料运输、装卸、贮存方式变化，导致大气污染物无组织排放量增加10%及以上的。</w:t>
                  </w:r>
                </w:p>
              </w:tc>
              <w:tc>
                <w:tcPr>
                  <w:tcW w:w="3087" w:type="dxa"/>
                  <w:gridSpan w:val="2"/>
                  <w:noWrap w:val="0"/>
                  <w:vAlign w:val="center"/>
                </w:tcPr>
                <w:p w14:paraId="2EE58CD8">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52847780">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1C3A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restart"/>
                  <w:noWrap w:val="0"/>
                  <w:vAlign w:val="center"/>
                </w:tcPr>
                <w:p w14:paraId="3203DCE0">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环境保护措施</w:t>
                  </w:r>
                </w:p>
              </w:tc>
              <w:tc>
                <w:tcPr>
                  <w:tcW w:w="4608" w:type="dxa"/>
                  <w:noWrap w:val="0"/>
                  <w:vAlign w:val="center"/>
                </w:tcPr>
                <w:p w14:paraId="7865814E">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废气、废水污染防治措施变化，导致第6条中所列情形之一</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废气无组织排放改为有组织排放、污染防治措施强化或改进的除外</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或大气污染物无组织排放量增加10%及以上的。</w:t>
                  </w:r>
                </w:p>
              </w:tc>
              <w:tc>
                <w:tcPr>
                  <w:tcW w:w="3087" w:type="dxa"/>
                  <w:gridSpan w:val="2"/>
                  <w:noWrap w:val="0"/>
                  <w:vAlign w:val="center"/>
                </w:tcPr>
                <w:p w14:paraId="20FEC939">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0AA74D2C">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6111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4279EF9B">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5C87BCB7">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新增废水直接排放口;废水由间接排放改为直接排放;废水直接排放口位置变化，导致不利环境影响加重的。</w:t>
                  </w:r>
                </w:p>
              </w:tc>
              <w:tc>
                <w:tcPr>
                  <w:tcW w:w="3087" w:type="dxa"/>
                  <w:gridSpan w:val="2"/>
                  <w:noWrap w:val="0"/>
                  <w:vAlign w:val="center"/>
                </w:tcPr>
                <w:p w14:paraId="6B6D021F">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3668860B">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40DF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12D6F09C">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751F2BE8">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新增废气主要排放口</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废气无组织排放改为有组织排放的除外</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;主要排放口排气筒高度降低10%及以上的。</w:t>
                  </w:r>
                </w:p>
              </w:tc>
              <w:tc>
                <w:tcPr>
                  <w:tcW w:w="3087" w:type="dxa"/>
                  <w:gridSpan w:val="2"/>
                  <w:noWrap w:val="0"/>
                  <w:vAlign w:val="center"/>
                </w:tcPr>
                <w:p w14:paraId="33B0C5BA">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594F8858">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5E3C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493E76BF">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3DA473A5">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噪声、土壤或地下水污染防治措施变化，导致不利环境影响加重的。</w:t>
                  </w:r>
                </w:p>
              </w:tc>
              <w:tc>
                <w:tcPr>
                  <w:tcW w:w="3087" w:type="dxa"/>
                  <w:gridSpan w:val="2"/>
                  <w:noWrap w:val="0"/>
                  <w:vAlign w:val="center"/>
                </w:tcPr>
                <w:p w14:paraId="0BC033D6">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309BFF3F">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6A5A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03062154">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55A87272">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固体废物利用处置方式由委托外单位利用处置改为自行利用处置的</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自行利用处置设施单独开展环境影响评价的除外</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;固体废物自行处置方式变化，导致不利环境影响加重的。</w:t>
                  </w:r>
                </w:p>
              </w:tc>
              <w:tc>
                <w:tcPr>
                  <w:tcW w:w="3087" w:type="dxa"/>
                  <w:gridSpan w:val="2"/>
                  <w:noWrap w:val="0"/>
                  <w:vAlign w:val="center"/>
                </w:tcPr>
                <w:p w14:paraId="10D5A6E5">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0505FCB0">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否</w:t>
                  </w:r>
                </w:p>
              </w:tc>
            </w:tr>
            <w:tr w14:paraId="0E0D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jc w:val="center"/>
              </w:trPr>
              <w:tc>
                <w:tcPr>
                  <w:tcW w:w="1122" w:type="dxa"/>
                  <w:vMerge w:val="continue"/>
                  <w:noWrap w:val="0"/>
                  <w:vAlign w:val="center"/>
                </w:tcPr>
                <w:p w14:paraId="20D07851">
                  <w:pPr>
                    <w:pStyle w:val="91"/>
                    <w:spacing w:line="276" w:lineRule="auto"/>
                    <w:ind w:firstLine="0" w:firstLineChars="0"/>
                    <w:jc w:val="center"/>
                    <w:rPr>
                      <w:rFonts w:hint="default" w:ascii="Times New Roman" w:hAnsi="Times New Roman" w:eastAsia="宋体" w:cs="Times New Roman"/>
                      <w:bCs/>
                      <w:sz w:val="21"/>
                      <w:szCs w:val="21"/>
                      <w:lang w:val="en-US" w:eastAsia="zh-CN"/>
                    </w:rPr>
                  </w:pPr>
                </w:p>
              </w:tc>
              <w:tc>
                <w:tcPr>
                  <w:tcW w:w="4608" w:type="dxa"/>
                  <w:noWrap w:val="0"/>
                  <w:vAlign w:val="center"/>
                </w:tcPr>
                <w:p w14:paraId="4B9E3EA5">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事故废水暂存能力或拦截设施变化，导致环境风险防范能力弱化或降低的。</w:t>
                  </w:r>
                </w:p>
              </w:tc>
              <w:tc>
                <w:tcPr>
                  <w:tcW w:w="3087" w:type="dxa"/>
                  <w:gridSpan w:val="2"/>
                  <w:noWrap w:val="0"/>
                  <w:vAlign w:val="center"/>
                </w:tcPr>
                <w:p w14:paraId="08CBECA3">
                  <w:pPr>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eastAsia="宋体" w:cs="Times New Roman"/>
                      <w:bCs/>
                      <w:sz w:val="21"/>
                      <w:szCs w:val="21"/>
                      <w:lang w:val="en-US" w:eastAsia="zh-CN"/>
                    </w:rPr>
                    <w:t>无</w:t>
                  </w:r>
                </w:p>
              </w:tc>
              <w:tc>
                <w:tcPr>
                  <w:tcW w:w="1644" w:type="dxa"/>
                  <w:noWrap w:val="0"/>
                  <w:vAlign w:val="center"/>
                </w:tcPr>
                <w:p w14:paraId="30E5CDD1">
                  <w:pPr>
                    <w:pStyle w:val="91"/>
                    <w:spacing w:line="276" w:lineRule="auto"/>
                    <w:ind w:firstLine="0" w:firstLineChars="0"/>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否</w:t>
                  </w:r>
                </w:p>
              </w:tc>
            </w:tr>
          </w:tbl>
          <w:p w14:paraId="24B34DDB">
            <w:pPr>
              <w:spacing w:line="360" w:lineRule="auto"/>
              <w:ind w:firstLine="480" w:firstLineChars="200"/>
              <w:rPr>
                <w:rFonts w:hint="default" w:ascii="Times New Roman" w:hAnsi="Times New Roman" w:eastAsia="宋体" w:cs="Times New Roman"/>
                <w:sz w:val="24"/>
                <w:szCs w:val="28"/>
                <w:lang w:val="en-US" w:eastAsia="zh-CN"/>
              </w:rPr>
            </w:pPr>
            <w:r>
              <w:rPr>
                <w:rFonts w:hint="default" w:ascii="Times New Roman" w:hAnsi="Times New Roman" w:eastAsia="宋体" w:cs="Times New Roman"/>
                <w:sz w:val="24"/>
                <w:szCs w:val="28"/>
                <w:lang w:val="en-US" w:eastAsia="zh-CN"/>
              </w:rPr>
              <w:t>根据以上与《污染影响类建设项目重大变动清单》对照分析，本项目以上变动情况不属于《建设项目竣工环境保护验收暂行办法》中规定的项目性质、规模、地点、采用的生产工艺或防治污染、防止生态破坏的措施发生重大变更的情形，因此，本项目以上变动不属于重大变动。</w:t>
            </w:r>
          </w:p>
          <w:p w14:paraId="15FCFE2A">
            <w:pPr>
              <w:spacing w:before="48" w:beforeLines="20" w:line="360" w:lineRule="auto"/>
              <w:ind w:firstLine="420" w:firstLineChars="200"/>
              <w:rPr>
                <w:rFonts w:hint="default"/>
                <w:lang w:val="en-US" w:eastAsia="zh-CN"/>
              </w:rPr>
            </w:pPr>
          </w:p>
        </w:tc>
      </w:tr>
    </w:tbl>
    <w:p w14:paraId="48883BFA">
      <w:pPr>
        <w:ind w:firstLine="420"/>
        <w:rPr>
          <w:rFonts w:hint="default" w:ascii="Times New Roman" w:hAnsi="Times New Roman" w:cs="Times New Roman"/>
          <w:color w:val="auto"/>
        </w:rPr>
        <w:sectPr>
          <w:footerReference r:id="rId11" w:type="default"/>
          <w:pgSz w:w="11906" w:h="16838"/>
          <w:pgMar w:top="1440" w:right="794" w:bottom="1440" w:left="794" w:header="851" w:footer="964" w:gutter="0"/>
          <w:pgBorders>
            <w:top w:val="none" w:sz="0" w:space="0"/>
            <w:left w:val="none" w:sz="0" w:space="0"/>
            <w:bottom w:val="none" w:sz="0" w:space="0"/>
            <w:right w:val="none" w:sz="0" w:space="0"/>
          </w:pgBorders>
          <w:pgNumType w:fmt="numberInDash" w:start="1"/>
          <w:cols w:space="720" w:num="1"/>
          <w:docGrid w:linePitch="360" w:charSpace="0"/>
        </w:sectPr>
      </w:pPr>
    </w:p>
    <w:p w14:paraId="4BDA5FB1">
      <w:pPr>
        <w:pStyle w:val="3"/>
        <w:numPr>
          <w:ilvl w:val="0"/>
          <w:numId w:val="0"/>
        </w:numPr>
        <w:spacing w:before="120" w:after="120"/>
        <w:rPr>
          <w:rFonts w:hint="default" w:ascii="Times New Roman" w:hAnsi="Times New Roman" w:cs="Times New Roman"/>
          <w:color w:val="auto"/>
        </w:rPr>
      </w:pPr>
      <w:bookmarkStart w:id="10" w:name="_Toc7516"/>
      <w:bookmarkStart w:id="11" w:name="_Toc17876_WPSOffice_Level1"/>
      <w:bookmarkStart w:id="12" w:name="_Toc5384"/>
      <w:bookmarkStart w:id="13" w:name="_Toc18582_WPSOffice_Level1"/>
      <w:bookmarkStart w:id="14" w:name="_Toc9859"/>
      <w:r>
        <w:rPr>
          <w:rFonts w:hint="default" w:ascii="Times New Roman" w:hAnsi="Times New Roman" w:cs="Times New Roman"/>
          <w:color w:val="auto"/>
        </w:rPr>
        <w:t>表三  主要污染源及污染物处理和排放</w:t>
      </w:r>
      <w:bookmarkEnd w:id="10"/>
      <w:bookmarkEnd w:id="11"/>
      <w:bookmarkEnd w:id="12"/>
      <w:bookmarkEnd w:id="13"/>
      <w:bookmarkEnd w:id="14"/>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6"/>
      </w:tblGrid>
      <w:tr w14:paraId="40B7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5" w:hRule="atLeast"/>
          <w:jc w:val="center"/>
        </w:trPr>
        <w:tc>
          <w:tcPr>
            <w:tcW w:w="9576" w:type="dxa"/>
            <w:noWrap w:val="0"/>
            <w:vAlign w:val="top"/>
          </w:tcPr>
          <w:p w14:paraId="577FDB0E">
            <w:pPr>
              <w:pStyle w:val="5"/>
              <w:numPr>
                <w:ilvl w:val="2"/>
                <w:numId w:val="0"/>
              </w:numPr>
              <w:tabs>
                <w:tab w:val="clear" w:pos="420"/>
              </w:tabs>
              <w:bidi w:val="0"/>
              <w:rPr>
                <w:rFonts w:hint="eastAsia"/>
                <w:color w:val="auto"/>
                <w:lang w:eastAsia="zh-CN"/>
              </w:rPr>
            </w:pPr>
            <w:r>
              <w:rPr>
                <w:rFonts w:hint="eastAsia"/>
                <w:color w:val="auto"/>
                <w:lang w:val="en-US" w:eastAsia="zh-CN"/>
              </w:rPr>
              <w:t>1、</w:t>
            </w:r>
            <w:r>
              <w:rPr>
                <w:rFonts w:hint="default"/>
                <w:color w:val="auto"/>
              </w:rPr>
              <w:t>废气的排放及治理</w:t>
            </w:r>
            <w:bookmarkStart w:id="15" w:name="_Toc340476381"/>
          </w:p>
          <w:p w14:paraId="17AFE5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sz w:val="24"/>
                <w:szCs w:val="24"/>
                <w:lang w:val="en-US" w:eastAsia="zh-CN"/>
              </w:rPr>
              <w:t>项目产生废气主要为</w:t>
            </w:r>
            <w:r>
              <w:rPr>
                <w:rFonts w:hint="eastAsia" w:ascii="Times New Roman" w:hAnsi="Times New Roman" w:eastAsia="宋体" w:cs="Times New Roman"/>
                <w:sz w:val="24"/>
                <w:szCs w:val="24"/>
                <w:lang w:val="en-US" w:eastAsia="zh-CN"/>
              </w:rPr>
              <w:t>餐厨垃圾处理系统废气、接料废气、厌氧发酵区废气（剩余沼气）、热水炉燃烧废气。</w:t>
            </w:r>
          </w:p>
          <w:p w14:paraId="3F7DE4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餐厨垃圾处理系统废气：对各设备处加装集气罩收集臭气，对车间作业区全封闭，设置二道封闭措施，采用门帘处理，室内采用负压运行，臭气由风机引至碱洗喷淋塔+生物吸附床处理后通过15m高的DA001排放。接料废气：采用植物提取液（恶臭抑制剂）高压喷雾脱臭装置定期喷淋除臭并与餐厨垃圾处理间负压抽气系统联合使用。厌氧发酵区废气（剩余沼气）：设1套沼气净化系统+沼气利用系统+紧急火炬。污水处理站废气：污水站全密闭设计，由于本项目污水处理设计工艺为厌氧工艺，仅缓慢产生少量臭气，要求在污水处理站附近增加绿植覆盖处理。热水炉燃烧废气：燃烧后的废气经8m高的DA002排放。</w:t>
            </w:r>
          </w:p>
          <w:p w14:paraId="2D1AB567">
            <w:pPr>
              <w:spacing w:line="360" w:lineRule="auto"/>
              <w:jc w:val="both"/>
              <w:rPr>
                <w:rFonts w:hint="eastAsia" w:ascii="宋体" w:hAnsi="宋体" w:eastAsia="宋体" w:cs="宋体"/>
                <w:kern w:val="2"/>
                <w:sz w:val="24"/>
                <w:szCs w:val="24"/>
                <w:lang w:val="en-US" w:eastAsia="zh-CN" w:bidi="ar-SA"/>
              </w:rPr>
            </w:pPr>
            <w:r>
              <w:rPr>
                <w:rFonts w:hint="eastAsia"/>
                <w:lang w:val="en-US" w:eastAsia="zh-CN"/>
              </w:rPr>
              <w:t xml:space="preserve">   </w:t>
            </w:r>
            <w:r>
              <w:drawing>
                <wp:inline distT="0" distB="0" distL="114300" distR="114300">
                  <wp:extent cx="2635250" cy="3294380"/>
                  <wp:effectExtent l="0" t="0" r="12700" b="127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31"/>
                          <a:stretch>
                            <a:fillRect/>
                          </a:stretch>
                        </pic:blipFill>
                        <pic:spPr>
                          <a:xfrm>
                            <a:off x="0" y="0"/>
                            <a:ext cx="2635250" cy="3294380"/>
                          </a:xfrm>
                          <a:prstGeom prst="rect">
                            <a:avLst/>
                          </a:prstGeom>
                          <a:noFill/>
                          <a:ln>
                            <a:noFill/>
                          </a:ln>
                        </pic:spPr>
                      </pic:pic>
                    </a:graphicData>
                  </a:graphic>
                </wp:inline>
              </w:drawing>
            </w:r>
            <w:r>
              <w:drawing>
                <wp:inline distT="0" distB="0" distL="114300" distR="114300">
                  <wp:extent cx="2796540" cy="3305810"/>
                  <wp:effectExtent l="0" t="0" r="3810" b="8890"/>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32"/>
                          <a:stretch>
                            <a:fillRect/>
                          </a:stretch>
                        </pic:blipFill>
                        <pic:spPr>
                          <a:xfrm>
                            <a:off x="0" y="0"/>
                            <a:ext cx="2796540" cy="3305810"/>
                          </a:xfrm>
                          <a:prstGeom prst="rect">
                            <a:avLst/>
                          </a:prstGeom>
                          <a:noFill/>
                          <a:ln>
                            <a:noFill/>
                          </a:ln>
                        </pic:spPr>
                      </pic:pic>
                    </a:graphicData>
                  </a:graphic>
                </wp:inline>
              </w:drawing>
            </w:r>
          </w:p>
          <w:p w14:paraId="76447657">
            <w:pPr>
              <w:pStyle w:val="6"/>
              <w:keepNext/>
              <w:keepLines/>
              <w:pageBreakBefore w:val="0"/>
              <w:widowControl w:val="0"/>
              <w:numPr>
                <w:ilvl w:val="0"/>
                <w:numId w:val="0"/>
              </w:numPr>
              <w:tabs>
                <w:tab w:val="clear" w:pos="0"/>
              </w:tabs>
              <w:kinsoku/>
              <w:wordWrap/>
              <w:overflowPunct/>
              <w:topLinePunct w:val="0"/>
              <w:autoSpaceDE/>
              <w:autoSpaceDN/>
              <w:bidi w:val="0"/>
              <w:adjustRightInd/>
              <w:snapToGrid/>
              <w:ind w:firstLine="843" w:firstLineChars="400"/>
              <w:jc w:val="both"/>
              <w:textAlignment w:val="auto"/>
              <w:rPr>
                <w:rFonts w:hint="eastAsia" w:ascii="宋体" w:hAnsi="宋体" w:eastAsia="宋体" w:cs="宋体"/>
                <w:kern w:val="2"/>
                <w:sz w:val="24"/>
                <w:szCs w:val="24"/>
                <w:lang w:val="en-US" w:eastAsia="zh-CN" w:bidi="ar-SA"/>
              </w:rPr>
            </w:pPr>
            <w:r>
              <w:rPr>
                <w:rFonts w:hint="eastAsia" w:ascii="宋体" w:hAnsi="宋体" w:cs="宋体"/>
                <w:b/>
                <w:bCs/>
                <w:color w:val="auto"/>
                <w:sz w:val="21"/>
                <w:szCs w:val="21"/>
                <w:lang w:val="en-US" w:eastAsia="zh-CN"/>
              </w:rPr>
              <w:t>图3-1</w:t>
            </w:r>
            <w:r>
              <w:rPr>
                <w:rFonts w:hint="eastAsia" w:ascii="宋体" w:hAnsi="宋体" w:cs="宋体"/>
                <w:b/>
                <w:bCs/>
                <w:color w:val="C00000"/>
                <w:sz w:val="21"/>
                <w:szCs w:val="21"/>
                <w:lang w:val="en-US" w:eastAsia="zh-CN"/>
              </w:rPr>
              <w:t xml:space="preserve"> </w:t>
            </w:r>
            <w:r>
              <w:rPr>
                <w:rFonts w:hint="eastAsia" w:ascii="宋体" w:hAnsi="宋体" w:cs="宋体"/>
                <w:b/>
                <w:bCs/>
                <w:color w:val="auto"/>
                <w:sz w:val="21"/>
                <w:szCs w:val="21"/>
                <w:lang w:val="en-US" w:eastAsia="zh-CN"/>
              </w:rPr>
              <w:t>臭气处理系统排气筒                      图3-2 燃油锅炉废气排气</w:t>
            </w:r>
            <w:bookmarkStart w:id="57" w:name="_GoBack"/>
            <w:bookmarkEnd w:id="57"/>
            <w:r>
              <w:rPr>
                <w:rFonts w:hint="eastAsia" w:ascii="宋体" w:hAnsi="宋体" w:cs="宋体"/>
                <w:b/>
                <w:bCs/>
                <w:color w:val="auto"/>
                <w:sz w:val="21"/>
                <w:szCs w:val="21"/>
                <w:lang w:val="en-US" w:eastAsia="zh-CN"/>
              </w:rPr>
              <w:t>筒</w:t>
            </w:r>
          </w:p>
          <w:p w14:paraId="2F6CFED3">
            <w:pPr>
              <w:pStyle w:val="6"/>
              <w:keepNext/>
              <w:keepLines/>
              <w:pageBreakBefore w:val="0"/>
              <w:widowControl w:val="0"/>
              <w:numPr>
                <w:ilvl w:val="0"/>
                <w:numId w:val="0"/>
              </w:numPr>
              <w:tabs>
                <w:tab w:val="clear" w:pos="0"/>
              </w:tabs>
              <w:kinsoku/>
              <w:wordWrap/>
              <w:overflowPunct/>
              <w:topLinePunct w:val="0"/>
              <w:autoSpaceDE/>
              <w:autoSpaceDN/>
              <w:bidi w:val="0"/>
              <w:adjustRightInd/>
              <w:snapToGrid/>
              <w:ind w:firstLine="480" w:firstLineChars="200"/>
              <w:jc w:val="center"/>
              <w:textAlignment w:val="auto"/>
              <w:rPr>
                <w:rFonts w:hint="eastAsia" w:ascii="宋体" w:hAnsi="宋体" w:eastAsia="宋体" w:cs="宋体"/>
                <w:kern w:val="2"/>
                <w:sz w:val="24"/>
                <w:szCs w:val="24"/>
                <w:lang w:val="en-US" w:eastAsia="zh-CN" w:bidi="ar-SA"/>
              </w:rPr>
            </w:pPr>
            <w:r>
              <w:drawing>
                <wp:inline distT="0" distB="0" distL="114300" distR="114300">
                  <wp:extent cx="2673985" cy="2739390"/>
                  <wp:effectExtent l="0" t="0" r="12065" b="3810"/>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33"/>
                          <a:stretch>
                            <a:fillRect/>
                          </a:stretch>
                        </pic:blipFill>
                        <pic:spPr>
                          <a:xfrm>
                            <a:off x="0" y="0"/>
                            <a:ext cx="2673985" cy="2739390"/>
                          </a:xfrm>
                          <a:prstGeom prst="rect">
                            <a:avLst/>
                          </a:prstGeom>
                          <a:noFill/>
                          <a:ln>
                            <a:noFill/>
                          </a:ln>
                        </pic:spPr>
                      </pic:pic>
                    </a:graphicData>
                  </a:graphic>
                </wp:inline>
              </w:drawing>
            </w:r>
          </w:p>
          <w:p w14:paraId="61210C30">
            <w:pPr>
              <w:pStyle w:val="5"/>
              <w:numPr>
                <w:ilvl w:val="2"/>
                <w:numId w:val="0"/>
              </w:numPr>
              <w:tabs>
                <w:tab w:val="clear" w:pos="420"/>
              </w:tabs>
              <w:bidi w:val="0"/>
              <w:ind w:firstLine="4216" w:firstLineChars="2000"/>
              <w:rPr>
                <w:rFonts w:hint="eastAsia"/>
                <w:lang w:val="en-US" w:eastAsia="zh-CN"/>
              </w:rPr>
            </w:pPr>
            <w:r>
              <w:rPr>
                <w:rFonts w:hint="eastAsia" w:ascii="宋体" w:hAnsi="宋体" w:cs="宋体"/>
                <w:b/>
                <w:bCs/>
                <w:color w:val="auto"/>
                <w:sz w:val="21"/>
                <w:szCs w:val="21"/>
                <w:lang w:val="en-US" w:eastAsia="zh-CN"/>
              </w:rPr>
              <w:t>图3-3</w:t>
            </w:r>
            <w:r>
              <w:rPr>
                <w:rFonts w:hint="eastAsia" w:ascii="宋体" w:hAnsi="宋体" w:cs="宋体"/>
                <w:b/>
                <w:bCs/>
                <w:color w:val="C00000"/>
                <w:sz w:val="21"/>
                <w:szCs w:val="21"/>
                <w:lang w:val="en-US" w:eastAsia="zh-CN"/>
              </w:rPr>
              <w:t xml:space="preserve"> </w:t>
            </w:r>
            <w:r>
              <w:rPr>
                <w:rFonts w:hint="eastAsia" w:ascii="宋体" w:hAnsi="宋体" w:cs="宋体"/>
                <w:b/>
                <w:bCs/>
                <w:color w:val="auto"/>
                <w:sz w:val="21"/>
                <w:szCs w:val="21"/>
                <w:lang w:val="en-US" w:eastAsia="zh-CN"/>
              </w:rPr>
              <w:t>紧急火炬</w:t>
            </w:r>
          </w:p>
          <w:p w14:paraId="5003A930">
            <w:pPr>
              <w:pStyle w:val="5"/>
              <w:numPr>
                <w:ilvl w:val="2"/>
                <w:numId w:val="0"/>
              </w:numPr>
              <w:tabs>
                <w:tab w:val="clear" w:pos="420"/>
              </w:tabs>
              <w:bidi w:val="0"/>
              <w:rPr>
                <w:rFonts w:hint="eastAsia"/>
                <w:lang w:val="en-US" w:eastAsia="zh-CN"/>
              </w:rPr>
            </w:pPr>
            <w:r>
              <w:rPr>
                <w:rFonts w:hint="default" w:ascii="Times New Roman" w:hAnsi="Times New Roman" w:eastAsia="宋体" w:cs="Times New Roman"/>
                <w:b/>
                <w:bCs w:val="0"/>
                <w:color w:val="auto"/>
                <w:sz w:val="24"/>
                <w:szCs w:val="24"/>
              </w:rPr>
              <w:t>表</w:t>
            </w:r>
            <w:r>
              <w:rPr>
                <w:rFonts w:hint="eastAsia" w:ascii="Times New Roman" w:hAnsi="Times New Roman" w:eastAsia="宋体" w:cs="Times New Roman"/>
                <w:b/>
                <w:bCs w:val="0"/>
                <w:color w:val="auto"/>
                <w:sz w:val="24"/>
                <w:szCs w:val="24"/>
                <w:lang w:val="en-US" w:eastAsia="zh-CN"/>
              </w:rPr>
              <w:t>3</w:t>
            </w:r>
            <w:r>
              <w:rPr>
                <w:rFonts w:hint="default" w:ascii="Times New Roman" w:hAnsi="Times New Roman" w:eastAsia="宋体" w:cs="Times New Roman"/>
                <w:b/>
                <w:bCs w:val="0"/>
                <w:color w:val="auto"/>
                <w:sz w:val="24"/>
                <w:szCs w:val="24"/>
              </w:rPr>
              <w:t>-</w:t>
            </w:r>
            <w:r>
              <w:rPr>
                <w:rFonts w:hint="default" w:ascii="Times New Roman" w:hAnsi="Times New Roman" w:eastAsia="宋体" w:cs="Times New Roman"/>
                <w:b/>
                <w:bCs w:val="0"/>
                <w:color w:val="auto"/>
                <w:sz w:val="24"/>
                <w:szCs w:val="24"/>
                <w:lang w:val="en-US" w:eastAsia="zh-TW"/>
              </w:rPr>
              <w:t xml:space="preserve">1  </w:t>
            </w:r>
            <w:r>
              <w:rPr>
                <w:rFonts w:hint="eastAsia" w:ascii="Times New Roman" w:hAnsi="Times New Roman" w:eastAsia="宋体" w:cs="Times New Roman"/>
                <w:b/>
                <w:bCs w:val="0"/>
                <w:color w:val="auto"/>
                <w:sz w:val="24"/>
                <w:szCs w:val="24"/>
                <w:lang w:eastAsia="zh-CN"/>
              </w:rPr>
              <w:t>废气</w:t>
            </w:r>
            <w:r>
              <w:rPr>
                <w:rFonts w:hint="default" w:ascii="Times New Roman" w:hAnsi="Times New Roman" w:eastAsia="宋体" w:cs="Times New Roman"/>
                <w:b/>
                <w:bCs w:val="0"/>
                <w:color w:val="auto"/>
                <w:sz w:val="24"/>
                <w:szCs w:val="24"/>
                <w:lang w:eastAsia="zh-TW"/>
              </w:rPr>
              <w:t>排放及治理措施表</w:t>
            </w:r>
          </w:p>
          <w:tbl>
            <w:tblPr>
              <w:tblStyle w:val="33"/>
              <w:tblW w:w="506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779"/>
              <w:gridCol w:w="1545"/>
              <w:gridCol w:w="1290"/>
              <w:gridCol w:w="3218"/>
              <w:gridCol w:w="907"/>
            </w:tblGrid>
            <w:tr w14:paraId="3F51B6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87" w:type="pct"/>
                  <w:shd w:val="clear" w:color="auto" w:fill="auto"/>
                  <w:vAlign w:val="center"/>
                </w:tcPr>
                <w:p w14:paraId="246ED3A9">
                  <w:pPr>
                    <w:adjustRightInd w:val="0"/>
                    <w:snapToGrid w:val="0"/>
                    <w:jc w:val="center"/>
                    <w:rPr>
                      <w:rFonts w:hint="eastAsia" w:eastAsia="宋体"/>
                      <w:bCs/>
                      <w:kern w:val="0"/>
                      <w:szCs w:val="21"/>
                      <w:lang w:eastAsia="zh-CN"/>
                    </w:rPr>
                  </w:pPr>
                  <w:r>
                    <w:rPr>
                      <w:rFonts w:hint="eastAsia"/>
                      <w:bCs/>
                      <w:kern w:val="0"/>
                      <w:szCs w:val="21"/>
                      <w:lang w:eastAsia="zh-CN"/>
                    </w:rPr>
                    <w:t>序号</w:t>
                  </w:r>
                </w:p>
              </w:tc>
              <w:tc>
                <w:tcPr>
                  <w:tcW w:w="938" w:type="pct"/>
                  <w:shd w:val="clear" w:color="auto" w:fill="auto"/>
                  <w:vAlign w:val="center"/>
                </w:tcPr>
                <w:p w14:paraId="4ABAC8FE">
                  <w:pPr>
                    <w:adjustRightInd w:val="0"/>
                    <w:snapToGrid w:val="0"/>
                    <w:jc w:val="center"/>
                    <w:rPr>
                      <w:rFonts w:hint="eastAsia" w:eastAsia="宋体"/>
                      <w:bCs/>
                      <w:kern w:val="0"/>
                      <w:szCs w:val="21"/>
                      <w:lang w:eastAsia="zh-CN"/>
                    </w:rPr>
                  </w:pPr>
                  <w:r>
                    <w:rPr>
                      <w:rFonts w:hint="eastAsia" w:hAnsi="宋体"/>
                      <w:b/>
                      <w:kern w:val="0"/>
                      <w:szCs w:val="21"/>
                      <w:lang w:eastAsia="zh-CN"/>
                    </w:rPr>
                    <w:t>废气名称</w:t>
                  </w:r>
                </w:p>
              </w:tc>
              <w:tc>
                <w:tcPr>
                  <w:tcW w:w="815" w:type="pct"/>
                  <w:vAlign w:val="center"/>
                </w:tcPr>
                <w:p w14:paraId="7ABDA6DD">
                  <w:pPr>
                    <w:adjustRightInd w:val="0"/>
                    <w:snapToGrid w:val="0"/>
                    <w:jc w:val="center"/>
                    <w:rPr>
                      <w:rFonts w:hint="eastAsia" w:eastAsia="宋体"/>
                      <w:bCs/>
                      <w:kern w:val="0"/>
                      <w:szCs w:val="21"/>
                      <w:lang w:eastAsia="zh-CN"/>
                    </w:rPr>
                  </w:pPr>
                  <w:r>
                    <w:rPr>
                      <w:rFonts w:hint="eastAsia" w:hAnsi="宋体"/>
                      <w:b/>
                      <w:kern w:val="0"/>
                      <w:szCs w:val="21"/>
                      <w:lang w:eastAsia="zh-CN"/>
                    </w:rPr>
                    <w:t>废气来源</w:t>
                  </w:r>
                </w:p>
              </w:tc>
              <w:tc>
                <w:tcPr>
                  <w:tcW w:w="680" w:type="pct"/>
                  <w:shd w:val="clear" w:color="auto" w:fill="auto"/>
                  <w:vAlign w:val="center"/>
                </w:tcPr>
                <w:p w14:paraId="58B77062">
                  <w:pPr>
                    <w:adjustRightInd w:val="0"/>
                    <w:snapToGrid w:val="0"/>
                    <w:jc w:val="center"/>
                    <w:rPr>
                      <w:rFonts w:hint="eastAsia" w:eastAsia="宋体"/>
                      <w:bCs/>
                      <w:kern w:val="0"/>
                      <w:szCs w:val="21"/>
                      <w:lang w:eastAsia="zh-CN"/>
                    </w:rPr>
                  </w:pPr>
                  <w:r>
                    <w:rPr>
                      <w:rFonts w:hint="eastAsia" w:hAnsi="宋体"/>
                      <w:b/>
                      <w:kern w:val="0"/>
                      <w:szCs w:val="21"/>
                      <w:lang w:eastAsia="zh-CN"/>
                    </w:rPr>
                    <w:t>主要污染物</w:t>
                  </w:r>
                </w:p>
              </w:tc>
              <w:tc>
                <w:tcPr>
                  <w:tcW w:w="1698" w:type="pct"/>
                  <w:shd w:val="clear" w:color="auto" w:fill="auto"/>
                  <w:vAlign w:val="center"/>
                </w:tcPr>
                <w:p w14:paraId="241EFACB">
                  <w:pPr>
                    <w:widowControl/>
                    <w:adjustRightInd w:val="0"/>
                    <w:snapToGrid w:val="0"/>
                    <w:jc w:val="center"/>
                    <w:rPr>
                      <w:rFonts w:hint="eastAsia" w:eastAsia="宋体"/>
                      <w:b/>
                      <w:kern w:val="0"/>
                      <w:szCs w:val="21"/>
                      <w:lang w:eastAsia="zh-CN"/>
                    </w:rPr>
                  </w:pPr>
                  <w:r>
                    <w:rPr>
                      <w:rFonts w:hint="eastAsia"/>
                      <w:b/>
                      <w:szCs w:val="21"/>
                      <w:lang w:eastAsia="zh-CN"/>
                    </w:rPr>
                    <w:t>治理措施</w:t>
                  </w:r>
                </w:p>
              </w:tc>
              <w:tc>
                <w:tcPr>
                  <w:tcW w:w="478" w:type="pct"/>
                  <w:shd w:val="clear" w:color="auto" w:fill="auto"/>
                  <w:vAlign w:val="center"/>
                </w:tcPr>
                <w:p w14:paraId="31846634">
                  <w:pPr>
                    <w:adjustRightInd w:val="0"/>
                    <w:snapToGrid w:val="0"/>
                    <w:jc w:val="center"/>
                    <w:rPr>
                      <w:rFonts w:hint="eastAsia" w:eastAsia="宋体"/>
                      <w:bCs/>
                      <w:kern w:val="0"/>
                      <w:szCs w:val="21"/>
                      <w:lang w:eastAsia="zh-CN"/>
                    </w:rPr>
                  </w:pPr>
                  <w:r>
                    <w:rPr>
                      <w:rFonts w:hint="eastAsia" w:hAnsi="宋体"/>
                      <w:b/>
                      <w:kern w:val="0"/>
                      <w:szCs w:val="21"/>
                      <w:lang w:eastAsia="zh-CN"/>
                    </w:rPr>
                    <w:t>排放去向</w:t>
                  </w:r>
                </w:p>
              </w:tc>
            </w:tr>
            <w:tr w14:paraId="5C61B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87" w:type="pct"/>
                  <w:shd w:val="clear" w:color="auto" w:fill="auto"/>
                  <w:vAlign w:val="center"/>
                </w:tcPr>
                <w:p w14:paraId="06AE3B52">
                  <w:pPr>
                    <w:widowControl/>
                    <w:adjustRightInd w:val="0"/>
                    <w:snapToGrid w:val="0"/>
                    <w:rPr>
                      <w:rFonts w:hint="eastAsia" w:eastAsia="宋体"/>
                      <w:kern w:val="0"/>
                      <w:szCs w:val="21"/>
                      <w:lang w:val="en-US" w:eastAsia="zh-CN"/>
                    </w:rPr>
                  </w:pPr>
                  <w:r>
                    <w:rPr>
                      <w:rFonts w:hint="eastAsia"/>
                      <w:kern w:val="0"/>
                      <w:szCs w:val="21"/>
                      <w:lang w:val="en-US" w:eastAsia="zh-CN"/>
                    </w:rPr>
                    <w:t>1</w:t>
                  </w:r>
                </w:p>
              </w:tc>
              <w:tc>
                <w:tcPr>
                  <w:tcW w:w="938" w:type="pct"/>
                  <w:shd w:val="clear" w:color="auto" w:fill="auto"/>
                  <w:vAlign w:val="center"/>
                </w:tcPr>
                <w:p w14:paraId="65266BE3">
                  <w:pPr>
                    <w:widowControl/>
                    <w:adjustRightInd w:val="0"/>
                    <w:snapToGrid w:val="0"/>
                    <w:rPr>
                      <w:rFonts w:hint="eastAsia" w:eastAsia="宋体"/>
                      <w:kern w:val="0"/>
                      <w:szCs w:val="21"/>
                      <w:lang w:eastAsia="zh-CN"/>
                    </w:rPr>
                  </w:pPr>
                  <w:r>
                    <w:rPr>
                      <w:rFonts w:hAnsi="宋体"/>
                      <w:kern w:val="0"/>
                      <w:szCs w:val="21"/>
                    </w:rPr>
                    <w:t>餐厨垃圾油脂处理工序</w:t>
                  </w:r>
                  <w:r>
                    <w:rPr>
                      <w:rFonts w:hint="eastAsia" w:hAnsi="宋体"/>
                      <w:kern w:val="0"/>
                      <w:szCs w:val="21"/>
                      <w:lang w:eastAsia="zh-CN"/>
                    </w:rPr>
                    <w:t>废气</w:t>
                  </w:r>
                </w:p>
              </w:tc>
              <w:tc>
                <w:tcPr>
                  <w:tcW w:w="815" w:type="pct"/>
                  <w:vAlign w:val="center"/>
                </w:tcPr>
                <w:p w14:paraId="0E05DF06">
                  <w:pPr>
                    <w:widowControl/>
                    <w:adjustRightInd w:val="0"/>
                    <w:snapToGrid w:val="0"/>
                    <w:rPr>
                      <w:rFonts w:hint="eastAsia" w:eastAsia="宋体"/>
                      <w:kern w:val="0"/>
                      <w:szCs w:val="21"/>
                      <w:lang w:eastAsia="zh-CN"/>
                    </w:rPr>
                  </w:pPr>
                  <w:r>
                    <w:rPr>
                      <w:rFonts w:hAnsi="宋体"/>
                      <w:kern w:val="0"/>
                      <w:szCs w:val="21"/>
                    </w:rPr>
                    <w:t>餐厨垃圾</w:t>
                  </w:r>
                  <w:r>
                    <w:rPr>
                      <w:rFonts w:hint="eastAsia" w:hAnsi="宋体"/>
                      <w:kern w:val="0"/>
                      <w:szCs w:val="21"/>
                      <w:lang w:eastAsia="zh-CN"/>
                    </w:rPr>
                    <w:t>处理车间</w:t>
                  </w:r>
                </w:p>
              </w:tc>
              <w:tc>
                <w:tcPr>
                  <w:tcW w:w="680" w:type="pct"/>
                  <w:shd w:val="clear" w:color="auto" w:fill="auto"/>
                  <w:vAlign w:val="center"/>
                </w:tcPr>
                <w:p w14:paraId="1249B0D0">
                  <w:pPr>
                    <w:widowControl/>
                    <w:adjustRightInd w:val="0"/>
                    <w:snapToGrid w:val="0"/>
                    <w:rPr>
                      <w:kern w:val="0"/>
                      <w:szCs w:val="21"/>
                    </w:rPr>
                  </w:pPr>
                  <w:r>
                    <w:rPr>
                      <w:kern w:val="0"/>
                      <w:szCs w:val="21"/>
                    </w:rPr>
                    <w:t>H</w:t>
                  </w:r>
                  <w:r>
                    <w:rPr>
                      <w:kern w:val="0"/>
                      <w:szCs w:val="21"/>
                      <w:vertAlign w:val="subscript"/>
                    </w:rPr>
                    <w:t>2</w:t>
                  </w:r>
                  <w:r>
                    <w:rPr>
                      <w:kern w:val="0"/>
                      <w:szCs w:val="21"/>
                    </w:rPr>
                    <w:t>S</w:t>
                  </w:r>
                  <w:r>
                    <w:rPr>
                      <w:rFonts w:hAnsi="宋体"/>
                      <w:kern w:val="0"/>
                      <w:szCs w:val="21"/>
                    </w:rPr>
                    <w:t>、</w:t>
                  </w:r>
                  <w:r>
                    <w:rPr>
                      <w:kern w:val="0"/>
                      <w:szCs w:val="21"/>
                    </w:rPr>
                    <w:t>NH</w:t>
                  </w:r>
                  <w:r>
                    <w:rPr>
                      <w:kern w:val="0"/>
                      <w:szCs w:val="21"/>
                      <w:vertAlign w:val="subscript"/>
                    </w:rPr>
                    <w:t>3</w:t>
                  </w:r>
                  <w:r>
                    <w:rPr>
                      <w:rFonts w:hAnsi="宋体"/>
                      <w:kern w:val="0"/>
                      <w:szCs w:val="21"/>
                    </w:rPr>
                    <w:t>、</w:t>
                  </w:r>
                  <w:r>
                    <w:rPr>
                      <w:rFonts w:hint="eastAsia" w:hAnsi="宋体"/>
                      <w:kern w:val="0"/>
                      <w:szCs w:val="21"/>
                    </w:rPr>
                    <w:t>VOCs</w:t>
                  </w:r>
                  <w:r>
                    <w:rPr>
                      <w:rFonts w:hAnsi="宋体"/>
                      <w:kern w:val="0"/>
                      <w:szCs w:val="21"/>
                    </w:rPr>
                    <w:t>、臭气浓度</w:t>
                  </w:r>
                </w:p>
              </w:tc>
              <w:tc>
                <w:tcPr>
                  <w:tcW w:w="1698" w:type="pct"/>
                  <w:shd w:val="clear" w:color="auto" w:fill="auto"/>
                  <w:vAlign w:val="center"/>
                </w:tcPr>
                <w:p w14:paraId="29A8D16D">
                  <w:pPr>
                    <w:widowControl/>
                    <w:adjustRightInd w:val="0"/>
                    <w:snapToGrid w:val="0"/>
                    <w:rPr>
                      <w:kern w:val="0"/>
                      <w:szCs w:val="21"/>
                    </w:rPr>
                  </w:pPr>
                  <w:r>
                    <w:rPr>
                      <w:rFonts w:hAnsi="宋体"/>
                      <w:kern w:val="0"/>
                      <w:szCs w:val="21"/>
                    </w:rPr>
                    <w:t>对各设备处加装集气罩收集臭气</w:t>
                  </w:r>
                  <w:r>
                    <w:rPr>
                      <w:rFonts w:hAnsi="宋体"/>
                      <w:szCs w:val="21"/>
                    </w:rPr>
                    <w:t>，对车间作业区全封闭，设置二道封闭</w:t>
                  </w:r>
                  <w:r>
                    <w:rPr>
                      <w:rFonts w:hAnsi="宋体"/>
                      <w:kern w:val="0"/>
                      <w:szCs w:val="21"/>
                    </w:rPr>
                    <w:t>措施，</w:t>
                  </w:r>
                  <w:r>
                    <w:rPr>
                      <w:rFonts w:hint="eastAsia" w:hAnsi="宋体"/>
                      <w:kern w:val="0"/>
                      <w:szCs w:val="21"/>
                    </w:rPr>
                    <w:t>车间采用门帘处理，室内采用负压运行，</w:t>
                  </w:r>
                  <w:r>
                    <w:rPr>
                      <w:rFonts w:hAnsi="宋体"/>
                      <w:kern w:val="0"/>
                      <w:szCs w:val="21"/>
                    </w:rPr>
                    <w:t>臭气由风机引至碱洗喷淋塔</w:t>
                  </w:r>
                  <w:r>
                    <w:rPr>
                      <w:szCs w:val="21"/>
                    </w:rPr>
                    <w:t>+</w:t>
                  </w:r>
                  <w:r>
                    <w:rPr>
                      <w:rFonts w:hAnsi="宋体"/>
                      <w:szCs w:val="21"/>
                    </w:rPr>
                    <w:t>生物吸附床处理后</w:t>
                  </w:r>
                  <w:r>
                    <w:rPr>
                      <w:rFonts w:hint="eastAsia" w:hAnsi="宋体"/>
                      <w:szCs w:val="21"/>
                    </w:rPr>
                    <w:t>由</w:t>
                  </w:r>
                  <w:r>
                    <w:rPr>
                      <w:kern w:val="0"/>
                      <w:szCs w:val="21"/>
                    </w:rPr>
                    <w:t>15m</w:t>
                  </w:r>
                  <w:r>
                    <w:rPr>
                      <w:rFonts w:hAnsi="宋体"/>
                      <w:kern w:val="0"/>
                      <w:szCs w:val="21"/>
                    </w:rPr>
                    <w:t>高，出口内径</w:t>
                  </w:r>
                  <w:r>
                    <w:rPr>
                      <w:kern w:val="0"/>
                      <w:szCs w:val="21"/>
                    </w:rPr>
                    <w:t>0.8m</w:t>
                  </w:r>
                  <w:r>
                    <w:rPr>
                      <w:rFonts w:hAnsi="宋体"/>
                      <w:kern w:val="0"/>
                      <w:szCs w:val="21"/>
                    </w:rPr>
                    <w:t>的</w:t>
                  </w:r>
                  <w:r>
                    <w:rPr>
                      <w:kern w:val="0"/>
                      <w:szCs w:val="21"/>
                    </w:rPr>
                    <w:t>DA001</w:t>
                  </w:r>
                  <w:r>
                    <w:rPr>
                      <w:rFonts w:hAnsi="宋体"/>
                      <w:kern w:val="0"/>
                      <w:szCs w:val="21"/>
                    </w:rPr>
                    <w:t>外排。</w:t>
                  </w:r>
                </w:p>
              </w:tc>
              <w:tc>
                <w:tcPr>
                  <w:tcW w:w="478" w:type="pct"/>
                  <w:shd w:val="clear" w:color="auto" w:fill="auto"/>
                  <w:vAlign w:val="center"/>
                </w:tcPr>
                <w:p w14:paraId="1031AA5F">
                  <w:pPr>
                    <w:widowControl/>
                    <w:adjustRightInd w:val="0"/>
                    <w:snapToGrid w:val="0"/>
                    <w:jc w:val="center"/>
                    <w:rPr>
                      <w:rFonts w:hint="eastAsia" w:eastAsia="宋体"/>
                      <w:kern w:val="0"/>
                      <w:szCs w:val="21"/>
                      <w:lang w:eastAsia="zh-CN"/>
                    </w:rPr>
                  </w:pPr>
                  <w:r>
                    <w:rPr>
                      <w:rFonts w:hint="eastAsia"/>
                      <w:kern w:val="0"/>
                      <w:szCs w:val="21"/>
                      <w:lang w:eastAsia="zh-CN"/>
                    </w:rPr>
                    <w:t>有组织</w:t>
                  </w:r>
                </w:p>
              </w:tc>
            </w:tr>
            <w:tr w14:paraId="16F47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6" w:hRule="atLeast"/>
              </w:trPr>
              <w:tc>
                <w:tcPr>
                  <w:tcW w:w="387" w:type="pct"/>
                  <w:shd w:val="clear" w:color="auto" w:fill="auto"/>
                  <w:vAlign w:val="center"/>
                </w:tcPr>
                <w:p w14:paraId="6610E5EF">
                  <w:pPr>
                    <w:widowControl/>
                    <w:adjustRightInd w:val="0"/>
                    <w:snapToGrid w:val="0"/>
                    <w:rPr>
                      <w:rFonts w:hint="default"/>
                      <w:kern w:val="0"/>
                      <w:szCs w:val="21"/>
                      <w:lang w:val="en-US" w:eastAsia="zh-CN"/>
                    </w:rPr>
                  </w:pPr>
                  <w:r>
                    <w:rPr>
                      <w:rFonts w:hint="eastAsia"/>
                      <w:kern w:val="0"/>
                      <w:szCs w:val="21"/>
                      <w:lang w:val="en-US" w:eastAsia="zh-CN"/>
                    </w:rPr>
                    <w:t>2</w:t>
                  </w:r>
                </w:p>
              </w:tc>
              <w:tc>
                <w:tcPr>
                  <w:tcW w:w="938" w:type="pct"/>
                  <w:shd w:val="clear" w:color="auto" w:fill="auto"/>
                  <w:vAlign w:val="center"/>
                </w:tcPr>
                <w:p w14:paraId="53A39CDA">
                  <w:pPr>
                    <w:widowControl/>
                    <w:adjustRightInd w:val="0"/>
                    <w:snapToGrid w:val="0"/>
                    <w:rPr>
                      <w:rFonts w:hint="eastAsia" w:eastAsia="宋体"/>
                      <w:kern w:val="0"/>
                      <w:szCs w:val="21"/>
                      <w:lang w:eastAsia="zh-CN"/>
                    </w:rPr>
                  </w:pPr>
                  <w:r>
                    <w:rPr>
                      <w:rFonts w:hint="eastAsia" w:hAnsi="宋体"/>
                      <w:kern w:val="0"/>
                      <w:szCs w:val="21"/>
                    </w:rPr>
                    <w:t>热水炉</w:t>
                  </w:r>
                  <w:r>
                    <w:rPr>
                      <w:rFonts w:hint="eastAsia" w:hAnsi="宋体"/>
                      <w:kern w:val="0"/>
                      <w:szCs w:val="21"/>
                      <w:lang w:eastAsia="zh-CN"/>
                    </w:rPr>
                    <w:t>废气</w:t>
                  </w:r>
                </w:p>
              </w:tc>
              <w:tc>
                <w:tcPr>
                  <w:tcW w:w="815" w:type="pct"/>
                  <w:vAlign w:val="center"/>
                </w:tcPr>
                <w:p w14:paraId="5CFE5ADD">
                  <w:pPr>
                    <w:widowControl/>
                    <w:adjustRightInd w:val="0"/>
                    <w:snapToGrid w:val="0"/>
                    <w:rPr>
                      <w:rFonts w:hint="eastAsia" w:eastAsia="宋体"/>
                      <w:kern w:val="0"/>
                      <w:szCs w:val="21"/>
                      <w:lang w:eastAsia="zh-CN"/>
                    </w:rPr>
                  </w:pPr>
                  <w:r>
                    <w:rPr>
                      <w:rFonts w:hint="eastAsia"/>
                      <w:kern w:val="0"/>
                      <w:szCs w:val="21"/>
                      <w:lang w:eastAsia="zh-CN"/>
                    </w:rPr>
                    <w:t>锅炉房</w:t>
                  </w:r>
                </w:p>
              </w:tc>
              <w:tc>
                <w:tcPr>
                  <w:tcW w:w="680" w:type="pct"/>
                  <w:shd w:val="clear" w:color="auto" w:fill="auto"/>
                  <w:vAlign w:val="center"/>
                </w:tcPr>
                <w:p w14:paraId="7050C825">
                  <w:pPr>
                    <w:widowControl/>
                    <w:adjustRightInd w:val="0"/>
                    <w:snapToGrid w:val="0"/>
                    <w:rPr>
                      <w:rFonts w:hint="eastAsia" w:eastAsia="宋体"/>
                      <w:kern w:val="0"/>
                      <w:szCs w:val="21"/>
                      <w:lang w:eastAsia="zh-CN"/>
                    </w:rPr>
                  </w:pPr>
                  <w:r>
                    <w:rPr>
                      <w:rFonts w:hint="eastAsia"/>
                      <w:kern w:val="0"/>
                      <w:szCs w:val="21"/>
                    </w:rPr>
                    <w:t>SO</w:t>
                  </w:r>
                  <w:r>
                    <w:rPr>
                      <w:rFonts w:hint="eastAsia"/>
                      <w:kern w:val="0"/>
                      <w:szCs w:val="21"/>
                      <w:vertAlign w:val="subscript"/>
                    </w:rPr>
                    <w:t>2</w:t>
                  </w:r>
                  <w:r>
                    <w:rPr>
                      <w:rFonts w:hint="eastAsia"/>
                      <w:kern w:val="0"/>
                      <w:szCs w:val="21"/>
                    </w:rPr>
                    <w:t>、NOx、颗粒物</w:t>
                  </w:r>
                  <w:r>
                    <w:rPr>
                      <w:rFonts w:hint="eastAsia"/>
                      <w:kern w:val="0"/>
                      <w:szCs w:val="21"/>
                      <w:lang w:eastAsia="zh-CN"/>
                    </w:rPr>
                    <w:t>、烟气黑度</w:t>
                  </w:r>
                </w:p>
              </w:tc>
              <w:tc>
                <w:tcPr>
                  <w:tcW w:w="1698" w:type="pct"/>
                  <w:shd w:val="clear" w:color="auto" w:fill="auto"/>
                  <w:vAlign w:val="center"/>
                </w:tcPr>
                <w:p w14:paraId="1C9BD068">
                  <w:pPr>
                    <w:widowControl/>
                    <w:adjustRightInd w:val="0"/>
                    <w:snapToGrid w:val="0"/>
                    <w:rPr>
                      <w:kern w:val="0"/>
                      <w:szCs w:val="21"/>
                    </w:rPr>
                  </w:pPr>
                  <w:r>
                    <w:rPr>
                      <w:rFonts w:hint="eastAsia" w:hAnsi="宋体"/>
                      <w:kern w:val="0"/>
                      <w:szCs w:val="21"/>
                    </w:rPr>
                    <w:t>经</w:t>
                  </w:r>
                  <w:r>
                    <w:rPr>
                      <w:rFonts w:hint="eastAsia" w:hAnsi="宋体"/>
                      <w:kern w:val="0"/>
                      <w:szCs w:val="21"/>
                      <w:lang w:val="en-US" w:eastAsia="zh-CN"/>
                    </w:rPr>
                    <w:t>8</w:t>
                  </w:r>
                  <w:r>
                    <w:rPr>
                      <w:rFonts w:hint="eastAsia" w:hAnsi="宋体"/>
                      <w:kern w:val="0"/>
                      <w:szCs w:val="21"/>
                    </w:rPr>
                    <w:t>m</w:t>
                  </w:r>
                  <w:r>
                    <w:rPr>
                      <w:rFonts w:hAnsi="宋体"/>
                      <w:kern w:val="0"/>
                      <w:szCs w:val="21"/>
                    </w:rPr>
                    <w:t>高的</w:t>
                  </w:r>
                  <w:r>
                    <w:rPr>
                      <w:rFonts w:hint="eastAsia" w:hAnsi="宋体"/>
                      <w:kern w:val="0"/>
                      <w:szCs w:val="21"/>
                      <w:lang w:eastAsia="zh-CN"/>
                    </w:rPr>
                    <w:t>排气筒</w:t>
                  </w:r>
                  <w:r>
                    <w:rPr>
                      <w:kern w:val="0"/>
                      <w:szCs w:val="21"/>
                    </w:rPr>
                    <w:t>DA00</w:t>
                  </w:r>
                  <w:r>
                    <w:rPr>
                      <w:rFonts w:hint="eastAsia"/>
                      <w:kern w:val="0"/>
                      <w:szCs w:val="21"/>
                    </w:rPr>
                    <w:t>2</w:t>
                  </w:r>
                  <w:r>
                    <w:rPr>
                      <w:rFonts w:hAnsi="宋体"/>
                      <w:kern w:val="0"/>
                      <w:szCs w:val="21"/>
                    </w:rPr>
                    <w:t>外排。</w:t>
                  </w:r>
                </w:p>
              </w:tc>
              <w:tc>
                <w:tcPr>
                  <w:tcW w:w="478" w:type="pct"/>
                  <w:shd w:val="clear" w:color="auto" w:fill="auto"/>
                  <w:vAlign w:val="center"/>
                </w:tcPr>
                <w:p w14:paraId="1283790C">
                  <w:pPr>
                    <w:widowControl/>
                    <w:adjustRightInd w:val="0"/>
                    <w:snapToGrid w:val="0"/>
                    <w:jc w:val="center"/>
                    <w:rPr>
                      <w:rFonts w:hint="eastAsia" w:eastAsia="宋体"/>
                      <w:kern w:val="0"/>
                      <w:szCs w:val="21"/>
                      <w:lang w:eastAsia="zh-CN"/>
                    </w:rPr>
                  </w:pPr>
                  <w:r>
                    <w:rPr>
                      <w:rFonts w:hint="eastAsia"/>
                      <w:kern w:val="0"/>
                      <w:szCs w:val="21"/>
                      <w:lang w:eastAsia="zh-CN"/>
                    </w:rPr>
                    <w:t>有组织</w:t>
                  </w:r>
                </w:p>
              </w:tc>
            </w:tr>
          </w:tbl>
          <w:p w14:paraId="6E100D6F">
            <w:pPr>
              <w:pStyle w:val="5"/>
              <w:numPr>
                <w:ilvl w:val="2"/>
                <w:numId w:val="0"/>
              </w:numPr>
              <w:tabs>
                <w:tab w:val="clear" w:pos="420"/>
              </w:tabs>
              <w:bidi w:val="0"/>
              <w:rPr>
                <w:rFonts w:hint="eastAsia"/>
                <w:lang w:val="en-US" w:eastAsia="zh-CN"/>
              </w:rPr>
            </w:pPr>
          </w:p>
          <w:p w14:paraId="77C9BCFA">
            <w:pPr>
              <w:pStyle w:val="5"/>
              <w:numPr>
                <w:ilvl w:val="2"/>
                <w:numId w:val="0"/>
              </w:numPr>
              <w:tabs>
                <w:tab w:val="clear" w:pos="420"/>
              </w:tabs>
              <w:bidi w:val="0"/>
              <w:rPr>
                <w:rFonts w:hint="eastAsia"/>
              </w:rPr>
            </w:pPr>
            <w:r>
              <w:rPr>
                <w:rFonts w:hint="eastAsia"/>
                <w:lang w:val="en-US" w:eastAsia="zh-CN"/>
              </w:rPr>
              <w:t>2、</w:t>
            </w:r>
            <w:r>
              <w:rPr>
                <w:rFonts w:hint="eastAsia"/>
              </w:rPr>
              <w:t>废水</w:t>
            </w:r>
          </w:p>
          <w:p w14:paraId="2394742C">
            <w:pPr>
              <w:spacing w:line="360" w:lineRule="auto"/>
              <w:ind w:firstLine="480" w:firstLineChars="200"/>
            </w:pPr>
            <w:r>
              <w:rPr>
                <w:rFonts w:hint="eastAsia"/>
                <w:sz w:val="24"/>
              </w:rPr>
              <w:t>本项目排水采用雨污分流、清污分流制，厂区设置污水化粪池收集处理厂区生活污水；厂区设置1套废水处理设施（采用调节池+CSTR厌氧反应器），生活污水经化粪池处理后，</w:t>
            </w:r>
            <w:r>
              <w:rPr>
                <w:rFonts w:hint="eastAsia"/>
                <w:sz w:val="24"/>
                <w:lang w:eastAsia="zh-CN"/>
              </w:rPr>
              <w:t>定期</w:t>
            </w:r>
            <w:r>
              <w:rPr>
                <w:rFonts w:hint="eastAsia"/>
                <w:sz w:val="24"/>
              </w:rPr>
              <w:t>排入青川县生活垃圾处理厂渗滤液处理厂。生</w:t>
            </w:r>
            <w:r>
              <w:rPr>
                <w:rFonts w:hint="eastAsia"/>
                <w:sz w:val="24"/>
                <w:lang w:eastAsia="zh-CN"/>
              </w:rPr>
              <w:t>产</w:t>
            </w:r>
            <w:r>
              <w:rPr>
                <w:rFonts w:hint="eastAsia"/>
                <w:sz w:val="24"/>
              </w:rPr>
              <w:t>污水经收集后经污水管网统一进入该废水处理设施（调节池+CSTR厌氧反应器）处理后排放。本项目建设单位与</w:t>
            </w:r>
            <w:r>
              <w:rPr>
                <w:sz w:val="24"/>
              </w:rPr>
              <w:t>青川县综合行政执法局签订污水处理协议，在本项目废水经以上废水处理设施处理达到污水处理协议中废水接纳标准（</w:t>
            </w:r>
            <w:r>
              <w:rPr>
                <w:rFonts w:hint="eastAsia"/>
                <w:sz w:val="24"/>
              </w:rPr>
              <w:t>pH：6-9，COD</w:t>
            </w:r>
            <w:r>
              <w:rPr>
                <w:rFonts w:hint="eastAsia"/>
                <w:sz w:val="24"/>
                <w:vertAlign w:val="subscript"/>
              </w:rPr>
              <w:t>Cr</w:t>
            </w:r>
            <w:r>
              <w:rPr>
                <w:rFonts w:hint="eastAsia"/>
                <w:sz w:val="24"/>
              </w:rPr>
              <w:t>≤10000mg/L，BOD</w:t>
            </w:r>
            <w:r>
              <w:rPr>
                <w:rFonts w:hint="eastAsia"/>
                <w:sz w:val="24"/>
                <w:vertAlign w:val="subscript"/>
              </w:rPr>
              <w:t>5</w:t>
            </w:r>
            <w:r>
              <w:rPr>
                <w:rFonts w:hint="eastAsia"/>
                <w:sz w:val="24"/>
              </w:rPr>
              <w:t>≤5000mg/L，NH</w:t>
            </w:r>
            <w:r>
              <w:rPr>
                <w:rFonts w:hint="eastAsia"/>
                <w:sz w:val="24"/>
                <w:vertAlign w:val="subscript"/>
              </w:rPr>
              <w:t>3</w:t>
            </w:r>
            <w:r>
              <w:rPr>
                <w:rFonts w:hint="eastAsia"/>
                <w:sz w:val="24"/>
              </w:rPr>
              <w:t>-N≤1000mg/L，TN≤1200mg/L</w:t>
            </w:r>
            <w:r>
              <w:rPr>
                <w:sz w:val="24"/>
              </w:rPr>
              <w:t>）后，本项目废水排入青川县生活垃圾处理厂渗滤液处理厂处理后排入乔庄河。</w:t>
            </w:r>
          </w:p>
          <w:p w14:paraId="5514C316">
            <w:pPr>
              <w:pStyle w:val="2"/>
              <w:rPr>
                <w:sz w:val="24"/>
              </w:rPr>
            </w:pPr>
            <w:r>
              <w:rPr>
                <w:rFonts w:hint="eastAsia"/>
                <w:lang w:val="en-US" w:eastAsia="zh-CN"/>
              </w:rPr>
              <w:t xml:space="preserve">       </w:t>
            </w:r>
            <w:r>
              <w:drawing>
                <wp:inline distT="0" distB="0" distL="114300" distR="114300">
                  <wp:extent cx="2275205" cy="2678430"/>
                  <wp:effectExtent l="0" t="0" r="10795" b="7620"/>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pic:cNvPicPr>
                            <a:picLocks noChangeAspect="1"/>
                          </pic:cNvPicPr>
                        </pic:nvPicPr>
                        <pic:blipFill>
                          <a:blip r:embed="rId34"/>
                          <a:stretch>
                            <a:fillRect/>
                          </a:stretch>
                        </pic:blipFill>
                        <pic:spPr>
                          <a:xfrm>
                            <a:off x="0" y="0"/>
                            <a:ext cx="2275205" cy="2678430"/>
                          </a:xfrm>
                          <a:prstGeom prst="rect">
                            <a:avLst/>
                          </a:prstGeom>
                          <a:noFill/>
                          <a:ln>
                            <a:noFill/>
                          </a:ln>
                        </pic:spPr>
                      </pic:pic>
                    </a:graphicData>
                  </a:graphic>
                </wp:inline>
              </w:drawing>
            </w:r>
            <w:r>
              <w:drawing>
                <wp:inline distT="0" distB="0" distL="114300" distR="114300">
                  <wp:extent cx="2474595" cy="2668270"/>
                  <wp:effectExtent l="0" t="0" r="1905" b="17780"/>
                  <wp:docPr id="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pic:cNvPicPr>
                            <a:picLocks noChangeAspect="1"/>
                          </pic:cNvPicPr>
                        </pic:nvPicPr>
                        <pic:blipFill>
                          <a:blip r:embed="rId35"/>
                          <a:stretch>
                            <a:fillRect/>
                          </a:stretch>
                        </pic:blipFill>
                        <pic:spPr>
                          <a:xfrm>
                            <a:off x="0" y="0"/>
                            <a:ext cx="2474595" cy="2668270"/>
                          </a:xfrm>
                          <a:prstGeom prst="rect">
                            <a:avLst/>
                          </a:prstGeom>
                          <a:noFill/>
                          <a:ln>
                            <a:noFill/>
                          </a:ln>
                        </pic:spPr>
                      </pic:pic>
                    </a:graphicData>
                  </a:graphic>
                </wp:inline>
              </w:drawing>
            </w:r>
          </w:p>
          <w:p w14:paraId="4BE15D38">
            <w:pPr>
              <w:pStyle w:val="5"/>
              <w:numPr>
                <w:ilvl w:val="2"/>
                <w:numId w:val="0"/>
              </w:numPr>
              <w:tabs>
                <w:tab w:val="clear" w:pos="420"/>
              </w:tabs>
              <w:bidi w:val="0"/>
              <w:ind w:firstLine="1687" w:firstLineChars="800"/>
              <w:rPr>
                <w:sz w:val="24"/>
              </w:rPr>
            </w:pPr>
            <w:r>
              <w:rPr>
                <w:rFonts w:hint="eastAsia" w:ascii="宋体" w:hAnsi="宋体" w:cs="宋体"/>
                <w:b/>
                <w:bCs/>
                <w:color w:val="auto"/>
                <w:sz w:val="21"/>
                <w:szCs w:val="21"/>
                <w:lang w:val="en-US" w:eastAsia="zh-CN"/>
              </w:rPr>
              <w:t>图3-4</w:t>
            </w:r>
            <w:r>
              <w:rPr>
                <w:rFonts w:hint="eastAsia" w:ascii="宋体" w:hAnsi="宋体" w:cs="宋体"/>
                <w:b/>
                <w:bCs/>
                <w:color w:val="C00000"/>
                <w:sz w:val="21"/>
                <w:szCs w:val="21"/>
                <w:lang w:val="en-US" w:eastAsia="zh-CN"/>
              </w:rPr>
              <w:t xml:space="preserve"> </w:t>
            </w:r>
            <w:r>
              <w:rPr>
                <w:rFonts w:hint="eastAsia" w:ascii="宋体" w:hAnsi="宋体" w:cs="宋体"/>
                <w:b/>
                <w:bCs/>
                <w:color w:val="auto"/>
                <w:sz w:val="21"/>
                <w:szCs w:val="21"/>
                <w:lang w:val="en-US" w:eastAsia="zh-CN"/>
              </w:rPr>
              <w:t>废水处理设施            图3-5</w:t>
            </w:r>
            <w:r>
              <w:rPr>
                <w:rFonts w:hint="eastAsia" w:ascii="宋体" w:hAnsi="宋体" w:cs="宋体"/>
                <w:b/>
                <w:bCs/>
                <w:color w:val="C00000"/>
                <w:sz w:val="21"/>
                <w:szCs w:val="21"/>
                <w:lang w:val="en-US" w:eastAsia="zh-CN"/>
              </w:rPr>
              <w:t xml:space="preserve"> </w:t>
            </w:r>
            <w:r>
              <w:rPr>
                <w:rFonts w:hint="eastAsia" w:ascii="宋体" w:hAnsi="宋体" w:cs="宋体"/>
                <w:b/>
                <w:bCs/>
                <w:color w:val="auto"/>
                <w:sz w:val="21"/>
                <w:szCs w:val="21"/>
                <w:lang w:val="en-US" w:eastAsia="zh-CN"/>
              </w:rPr>
              <w:t>排入渗滤液处理厂排入口</w:t>
            </w:r>
          </w:p>
          <w:p w14:paraId="353E2BE9">
            <w:pPr>
              <w:pStyle w:val="5"/>
              <w:numPr>
                <w:ilvl w:val="2"/>
                <w:numId w:val="0"/>
              </w:numPr>
              <w:tabs>
                <w:tab w:val="clear" w:pos="420"/>
              </w:tabs>
              <w:bidi w:val="0"/>
              <w:rPr>
                <w:rFonts w:hint="eastAsia"/>
                <w:lang w:val="en-US" w:eastAsia="zh-CN"/>
              </w:rPr>
            </w:pPr>
            <w:r>
              <w:rPr>
                <w:rFonts w:hint="default" w:ascii="Times New Roman" w:hAnsi="Times New Roman" w:eastAsia="宋体" w:cs="Times New Roman"/>
                <w:b/>
                <w:bCs w:val="0"/>
                <w:color w:val="auto"/>
                <w:sz w:val="24"/>
                <w:szCs w:val="24"/>
              </w:rPr>
              <w:t>表</w:t>
            </w:r>
            <w:r>
              <w:rPr>
                <w:rFonts w:hint="eastAsia" w:ascii="Times New Roman" w:hAnsi="Times New Roman" w:eastAsia="宋体" w:cs="Times New Roman"/>
                <w:b/>
                <w:bCs w:val="0"/>
                <w:color w:val="auto"/>
                <w:sz w:val="24"/>
                <w:szCs w:val="24"/>
                <w:lang w:val="en-US" w:eastAsia="zh-CN"/>
              </w:rPr>
              <w:t>3</w:t>
            </w:r>
            <w:r>
              <w:rPr>
                <w:rFonts w:hint="default" w:ascii="Times New Roman" w:hAnsi="Times New Roman" w:eastAsia="宋体" w:cs="Times New Roman"/>
                <w:b/>
                <w:bCs w:val="0"/>
                <w:color w:val="auto"/>
                <w:sz w:val="24"/>
                <w:szCs w:val="24"/>
              </w:rPr>
              <w:t>-</w:t>
            </w:r>
            <w:r>
              <w:rPr>
                <w:rFonts w:hint="eastAsia" w:ascii="Times New Roman" w:hAnsi="Times New Roman" w:eastAsia="宋体" w:cs="Times New Roman"/>
                <w:b/>
                <w:bCs w:val="0"/>
                <w:color w:val="auto"/>
                <w:sz w:val="24"/>
                <w:szCs w:val="24"/>
                <w:lang w:val="en-US" w:eastAsia="zh-CN"/>
              </w:rPr>
              <w:t>2</w:t>
            </w:r>
            <w:r>
              <w:rPr>
                <w:rFonts w:hint="default" w:ascii="Times New Roman" w:hAnsi="Times New Roman" w:eastAsia="宋体" w:cs="Times New Roman"/>
                <w:b/>
                <w:bCs w:val="0"/>
                <w:color w:val="auto"/>
                <w:sz w:val="24"/>
                <w:szCs w:val="24"/>
                <w:lang w:val="en-US" w:eastAsia="zh-TW"/>
              </w:rPr>
              <w:t xml:space="preserve">  </w:t>
            </w:r>
            <w:r>
              <w:rPr>
                <w:rFonts w:hint="eastAsia" w:ascii="Times New Roman" w:hAnsi="Times New Roman" w:eastAsia="宋体" w:cs="Times New Roman"/>
                <w:b/>
                <w:bCs w:val="0"/>
                <w:color w:val="auto"/>
                <w:sz w:val="24"/>
                <w:szCs w:val="24"/>
                <w:lang w:eastAsia="zh-CN"/>
              </w:rPr>
              <w:t>废水</w:t>
            </w:r>
            <w:r>
              <w:rPr>
                <w:rFonts w:hint="default" w:ascii="Times New Roman" w:hAnsi="Times New Roman" w:eastAsia="宋体" w:cs="Times New Roman"/>
                <w:b/>
                <w:bCs w:val="0"/>
                <w:color w:val="auto"/>
                <w:sz w:val="24"/>
                <w:szCs w:val="24"/>
                <w:lang w:eastAsia="zh-TW"/>
              </w:rPr>
              <w:t>排放及治理措施表</w:t>
            </w:r>
          </w:p>
          <w:tbl>
            <w:tblPr>
              <w:tblStyle w:val="33"/>
              <w:tblW w:w="947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39"/>
              <w:gridCol w:w="1245"/>
              <w:gridCol w:w="1515"/>
              <w:gridCol w:w="2505"/>
              <w:gridCol w:w="2235"/>
            </w:tblGrid>
            <w:tr w14:paraId="0DD14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87" w:type="pct"/>
                  <w:shd w:val="clear" w:color="auto" w:fill="auto"/>
                  <w:vAlign w:val="center"/>
                </w:tcPr>
                <w:p w14:paraId="36532AE9">
                  <w:pPr>
                    <w:adjustRightInd w:val="0"/>
                    <w:snapToGrid w:val="0"/>
                    <w:jc w:val="center"/>
                    <w:rPr>
                      <w:rFonts w:hint="eastAsia" w:eastAsia="宋体"/>
                      <w:bCs/>
                      <w:kern w:val="0"/>
                      <w:szCs w:val="21"/>
                      <w:lang w:eastAsia="zh-CN"/>
                    </w:rPr>
                  </w:pPr>
                  <w:r>
                    <w:rPr>
                      <w:rFonts w:hint="eastAsia"/>
                      <w:bCs/>
                      <w:kern w:val="0"/>
                      <w:szCs w:val="21"/>
                      <w:lang w:eastAsia="zh-CN"/>
                    </w:rPr>
                    <w:t>序号</w:t>
                  </w:r>
                </w:p>
              </w:tc>
              <w:tc>
                <w:tcPr>
                  <w:tcW w:w="653" w:type="pct"/>
                  <w:shd w:val="clear" w:color="auto" w:fill="auto"/>
                  <w:vAlign w:val="center"/>
                </w:tcPr>
                <w:p w14:paraId="1B71B8A2">
                  <w:pPr>
                    <w:adjustRightInd w:val="0"/>
                    <w:snapToGrid w:val="0"/>
                    <w:jc w:val="center"/>
                    <w:rPr>
                      <w:rFonts w:hint="eastAsia" w:eastAsia="宋体"/>
                      <w:bCs/>
                      <w:kern w:val="0"/>
                      <w:szCs w:val="21"/>
                      <w:lang w:eastAsia="zh-CN"/>
                    </w:rPr>
                  </w:pPr>
                  <w:r>
                    <w:rPr>
                      <w:rFonts w:hint="eastAsia" w:hAnsi="宋体"/>
                      <w:b/>
                      <w:kern w:val="0"/>
                      <w:szCs w:val="21"/>
                      <w:lang w:eastAsia="zh-CN"/>
                    </w:rPr>
                    <w:t>废水名称</w:t>
                  </w:r>
                </w:p>
              </w:tc>
              <w:tc>
                <w:tcPr>
                  <w:tcW w:w="657" w:type="pct"/>
                  <w:vAlign w:val="center"/>
                </w:tcPr>
                <w:p w14:paraId="416C788C">
                  <w:pPr>
                    <w:adjustRightInd w:val="0"/>
                    <w:snapToGrid w:val="0"/>
                    <w:jc w:val="center"/>
                    <w:rPr>
                      <w:rFonts w:hint="eastAsia" w:eastAsia="宋体"/>
                      <w:bCs/>
                      <w:kern w:val="0"/>
                      <w:szCs w:val="21"/>
                      <w:lang w:eastAsia="zh-CN"/>
                    </w:rPr>
                  </w:pPr>
                  <w:r>
                    <w:rPr>
                      <w:rFonts w:hint="eastAsia" w:hAnsi="宋体"/>
                      <w:b/>
                      <w:kern w:val="0"/>
                      <w:szCs w:val="21"/>
                      <w:lang w:eastAsia="zh-CN"/>
                    </w:rPr>
                    <w:t>废水来源</w:t>
                  </w:r>
                </w:p>
              </w:tc>
              <w:tc>
                <w:tcPr>
                  <w:tcW w:w="799" w:type="pct"/>
                  <w:shd w:val="clear" w:color="auto" w:fill="auto"/>
                  <w:vAlign w:val="center"/>
                </w:tcPr>
                <w:p w14:paraId="4BF16C33">
                  <w:pPr>
                    <w:adjustRightInd w:val="0"/>
                    <w:snapToGrid w:val="0"/>
                    <w:jc w:val="center"/>
                    <w:rPr>
                      <w:rFonts w:hint="eastAsia" w:eastAsia="宋体"/>
                      <w:bCs/>
                      <w:kern w:val="0"/>
                      <w:szCs w:val="21"/>
                      <w:lang w:eastAsia="zh-CN"/>
                    </w:rPr>
                  </w:pPr>
                  <w:r>
                    <w:rPr>
                      <w:rFonts w:hint="eastAsia" w:hAnsi="宋体"/>
                      <w:b/>
                      <w:kern w:val="0"/>
                      <w:szCs w:val="21"/>
                      <w:lang w:eastAsia="zh-CN"/>
                    </w:rPr>
                    <w:t>主要污染物</w:t>
                  </w:r>
                </w:p>
              </w:tc>
              <w:tc>
                <w:tcPr>
                  <w:tcW w:w="1322" w:type="pct"/>
                  <w:shd w:val="clear" w:color="auto" w:fill="auto"/>
                  <w:vAlign w:val="center"/>
                </w:tcPr>
                <w:p w14:paraId="60305EA1">
                  <w:pPr>
                    <w:widowControl/>
                    <w:adjustRightInd w:val="0"/>
                    <w:snapToGrid w:val="0"/>
                    <w:jc w:val="center"/>
                    <w:rPr>
                      <w:rFonts w:hint="eastAsia" w:eastAsia="宋体"/>
                      <w:b/>
                      <w:kern w:val="0"/>
                      <w:szCs w:val="21"/>
                      <w:lang w:eastAsia="zh-CN"/>
                    </w:rPr>
                  </w:pPr>
                  <w:r>
                    <w:rPr>
                      <w:rFonts w:hint="eastAsia"/>
                      <w:b/>
                      <w:szCs w:val="21"/>
                      <w:lang w:eastAsia="zh-CN"/>
                    </w:rPr>
                    <w:t>治理措施</w:t>
                  </w:r>
                </w:p>
              </w:tc>
              <w:tc>
                <w:tcPr>
                  <w:tcW w:w="1179" w:type="pct"/>
                  <w:shd w:val="clear" w:color="auto" w:fill="auto"/>
                  <w:vAlign w:val="center"/>
                </w:tcPr>
                <w:p w14:paraId="626EAD05">
                  <w:pPr>
                    <w:adjustRightInd w:val="0"/>
                    <w:snapToGrid w:val="0"/>
                    <w:jc w:val="center"/>
                    <w:rPr>
                      <w:rFonts w:hint="eastAsia" w:eastAsia="宋体"/>
                      <w:bCs/>
                      <w:kern w:val="0"/>
                      <w:szCs w:val="21"/>
                      <w:lang w:eastAsia="zh-CN"/>
                    </w:rPr>
                  </w:pPr>
                  <w:r>
                    <w:rPr>
                      <w:rFonts w:hint="eastAsia" w:hAnsi="宋体"/>
                      <w:b/>
                      <w:kern w:val="0"/>
                      <w:szCs w:val="21"/>
                      <w:lang w:eastAsia="zh-CN"/>
                    </w:rPr>
                    <w:t>排放去向</w:t>
                  </w:r>
                </w:p>
              </w:tc>
            </w:tr>
            <w:tr w14:paraId="732AB6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87" w:type="pct"/>
                  <w:shd w:val="clear" w:color="auto" w:fill="auto"/>
                  <w:vAlign w:val="center"/>
                </w:tcPr>
                <w:p w14:paraId="03C5CB99">
                  <w:pPr>
                    <w:widowControl/>
                    <w:adjustRightInd w:val="0"/>
                    <w:snapToGrid w:val="0"/>
                    <w:rPr>
                      <w:rFonts w:hint="eastAsia" w:eastAsia="宋体"/>
                      <w:kern w:val="0"/>
                      <w:szCs w:val="21"/>
                      <w:lang w:val="en-US" w:eastAsia="zh-CN"/>
                    </w:rPr>
                  </w:pPr>
                  <w:r>
                    <w:rPr>
                      <w:rFonts w:hint="eastAsia"/>
                      <w:kern w:val="0"/>
                      <w:szCs w:val="21"/>
                      <w:lang w:val="en-US" w:eastAsia="zh-CN"/>
                    </w:rPr>
                    <w:t>1</w:t>
                  </w:r>
                </w:p>
              </w:tc>
              <w:tc>
                <w:tcPr>
                  <w:tcW w:w="653" w:type="pct"/>
                  <w:shd w:val="clear" w:color="auto" w:fill="auto"/>
                  <w:vAlign w:val="center"/>
                </w:tcPr>
                <w:p w14:paraId="00849632">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生产废水</w:t>
                  </w:r>
                </w:p>
              </w:tc>
              <w:tc>
                <w:tcPr>
                  <w:tcW w:w="657" w:type="pct"/>
                  <w:vAlign w:val="center"/>
                </w:tcPr>
                <w:p w14:paraId="119460C0">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餐厨垃圾处理车间</w:t>
                  </w:r>
                </w:p>
              </w:tc>
              <w:tc>
                <w:tcPr>
                  <w:tcW w:w="799" w:type="pct"/>
                  <w:shd w:val="clear" w:color="auto" w:fill="auto"/>
                  <w:vAlign w:val="center"/>
                </w:tcPr>
                <w:p w14:paraId="56CBB2BA">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val="en-US" w:eastAsia="zh-CN"/>
                    </w:rPr>
                    <w:t>PH、</w:t>
                  </w:r>
                  <w:r>
                    <w:rPr>
                      <w:rFonts w:hint="eastAsia" w:ascii="Times New Roman" w:hAnsi="宋体" w:eastAsia="宋体" w:cs="Times New Roman"/>
                      <w:kern w:val="0"/>
                      <w:szCs w:val="21"/>
                      <w:lang w:eastAsia="zh-CN"/>
                    </w:rPr>
                    <w:t>COD、NH3-N、</w:t>
                  </w:r>
                  <w:r>
                    <w:rPr>
                      <w:rFonts w:hint="eastAsia" w:ascii="Times New Roman" w:hAnsi="宋体" w:eastAsia="宋体" w:cs="Times New Roman"/>
                      <w:kern w:val="0"/>
                      <w:szCs w:val="21"/>
                      <w:lang w:val="en-US" w:eastAsia="zh-CN"/>
                    </w:rPr>
                    <w:t>TN</w:t>
                  </w:r>
                  <w:r>
                    <w:rPr>
                      <w:rFonts w:hint="eastAsia" w:ascii="Times New Roman" w:hAnsi="宋体" w:eastAsia="宋体" w:cs="Times New Roman"/>
                      <w:kern w:val="0"/>
                      <w:szCs w:val="21"/>
                      <w:lang w:eastAsia="zh-CN"/>
                    </w:rPr>
                    <w:t>、BOD5</w:t>
                  </w:r>
                </w:p>
              </w:tc>
              <w:tc>
                <w:tcPr>
                  <w:tcW w:w="1322" w:type="pct"/>
                  <w:shd w:val="clear" w:color="auto" w:fill="auto"/>
                  <w:vAlign w:val="center"/>
                </w:tcPr>
                <w:p w14:paraId="582534DD">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废水处理设施（采用调节池+CSTR厌氧反应器）</w:t>
                  </w:r>
                </w:p>
              </w:tc>
              <w:tc>
                <w:tcPr>
                  <w:tcW w:w="1179" w:type="pct"/>
                  <w:shd w:val="clear" w:color="auto" w:fill="auto"/>
                  <w:vAlign w:val="center"/>
                </w:tcPr>
                <w:p w14:paraId="0B35CC87">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青川县生活垃圾处理厂渗滤液处理厂</w:t>
                  </w:r>
                </w:p>
              </w:tc>
            </w:tr>
            <w:tr w14:paraId="333196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87" w:type="pct"/>
                  <w:shd w:val="clear" w:color="auto" w:fill="auto"/>
                  <w:vAlign w:val="center"/>
                </w:tcPr>
                <w:p w14:paraId="623D9571">
                  <w:pPr>
                    <w:widowControl/>
                    <w:adjustRightInd w:val="0"/>
                    <w:snapToGrid w:val="0"/>
                    <w:rPr>
                      <w:rFonts w:hint="default"/>
                      <w:kern w:val="0"/>
                      <w:szCs w:val="21"/>
                      <w:lang w:val="en-US" w:eastAsia="zh-CN"/>
                    </w:rPr>
                  </w:pPr>
                  <w:r>
                    <w:rPr>
                      <w:rFonts w:hint="eastAsia"/>
                      <w:kern w:val="0"/>
                      <w:szCs w:val="21"/>
                      <w:lang w:val="en-US" w:eastAsia="zh-CN"/>
                    </w:rPr>
                    <w:t>2</w:t>
                  </w:r>
                </w:p>
              </w:tc>
              <w:tc>
                <w:tcPr>
                  <w:tcW w:w="653" w:type="pct"/>
                  <w:shd w:val="clear" w:color="auto" w:fill="auto"/>
                  <w:vAlign w:val="center"/>
                </w:tcPr>
                <w:p w14:paraId="45D59C14">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生活废水</w:t>
                  </w:r>
                </w:p>
              </w:tc>
              <w:tc>
                <w:tcPr>
                  <w:tcW w:w="657" w:type="pct"/>
                  <w:vAlign w:val="center"/>
                </w:tcPr>
                <w:p w14:paraId="0186BD4A">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食堂、办公</w:t>
                  </w:r>
                </w:p>
              </w:tc>
              <w:tc>
                <w:tcPr>
                  <w:tcW w:w="799" w:type="pct"/>
                  <w:shd w:val="clear" w:color="auto" w:fill="auto"/>
                  <w:vAlign w:val="center"/>
                </w:tcPr>
                <w:p w14:paraId="4092B33A">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COD、NH3-N、动植物油、BOD5</w:t>
                  </w:r>
                </w:p>
              </w:tc>
              <w:tc>
                <w:tcPr>
                  <w:tcW w:w="1322" w:type="pct"/>
                  <w:shd w:val="clear" w:color="auto" w:fill="auto"/>
                  <w:vAlign w:val="center"/>
                </w:tcPr>
                <w:p w14:paraId="5007AB11">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化粪池处理</w:t>
                  </w:r>
                </w:p>
              </w:tc>
              <w:tc>
                <w:tcPr>
                  <w:tcW w:w="1179" w:type="pct"/>
                  <w:shd w:val="clear" w:color="auto" w:fill="auto"/>
                  <w:vAlign w:val="center"/>
                </w:tcPr>
                <w:p w14:paraId="3769084F">
                  <w:pPr>
                    <w:widowControl/>
                    <w:adjustRightInd w:val="0"/>
                    <w:snapToGrid w:val="0"/>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青川县生活垃圾处理厂渗滤液处理厂</w:t>
                  </w:r>
                </w:p>
              </w:tc>
            </w:tr>
          </w:tbl>
          <w:p w14:paraId="0D005EE2">
            <w:pPr>
              <w:pStyle w:val="5"/>
              <w:numPr>
                <w:ilvl w:val="2"/>
                <w:numId w:val="0"/>
              </w:numPr>
              <w:tabs>
                <w:tab w:val="clear" w:pos="420"/>
              </w:tabs>
              <w:bidi w:val="0"/>
              <w:rPr>
                <w:rFonts w:hint="eastAsia"/>
                <w:lang w:val="en-US" w:eastAsia="zh-CN"/>
              </w:rPr>
            </w:pPr>
          </w:p>
          <w:p w14:paraId="3D50A5C3">
            <w:pPr>
              <w:pStyle w:val="5"/>
              <w:numPr>
                <w:ilvl w:val="2"/>
                <w:numId w:val="0"/>
              </w:numPr>
              <w:tabs>
                <w:tab w:val="clear" w:pos="420"/>
              </w:tabs>
              <w:bidi w:val="0"/>
              <w:rPr>
                <w:rFonts w:hint="default"/>
                <w:lang w:val="en-US" w:eastAsia="zh-CN"/>
              </w:rPr>
            </w:pPr>
            <w:r>
              <w:rPr>
                <w:rFonts w:hint="eastAsia"/>
                <w:lang w:val="en-US" w:eastAsia="zh-CN"/>
              </w:rPr>
              <w:t>3、噪声</w:t>
            </w:r>
          </w:p>
          <w:p w14:paraId="496BEF0B">
            <w:pPr>
              <w:spacing w:line="360" w:lineRule="auto"/>
              <w:ind w:firstLine="480" w:firstLineChars="200"/>
              <w:rPr>
                <w:rFonts w:hint="eastAsia" w:cs="Times New Roman"/>
                <w:color w:val="auto"/>
                <w:sz w:val="24"/>
                <w:szCs w:val="24"/>
                <w:lang w:eastAsia="zh-CN"/>
              </w:rPr>
            </w:pPr>
            <w:r>
              <w:rPr>
                <w:rFonts w:hint="default" w:ascii="Times New Roman" w:hAnsi="Times New Roman" w:cs="Times New Roman"/>
                <w:color w:val="auto"/>
                <w:sz w:val="24"/>
                <w:szCs w:val="24"/>
              </w:rPr>
              <w:t>经现场检查，</w:t>
            </w:r>
            <w:r>
              <w:rPr>
                <w:rFonts w:hint="eastAsia" w:cs="Times New Roman"/>
                <w:color w:val="auto"/>
                <w:sz w:val="24"/>
                <w:szCs w:val="24"/>
                <w:lang w:eastAsia="zh-CN"/>
              </w:rPr>
              <w:t>项目</w:t>
            </w:r>
            <w:r>
              <w:rPr>
                <w:rFonts w:hint="eastAsia"/>
                <w:kern w:val="0"/>
                <w:sz w:val="24"/>
              </w:rPr>
              <w:t>采取的噪声防治措施如下所示：</w:t>
            </w:r>
          </w:p>
          <w:p w14:paraId="2EE2D59E">
            <w:pPr>
              <w:spacing w:line="360" w:lineRule="auto"/>
              <w:ind w:firstLine="480" w:firstLineChars="200"/>
              <w:rPr>
                <w:kern w:val="0"/>
                <w:sz w:val="24"/>
              </w:rPr>
            </w:pPr>
            <w:r>
              <w:rPr>
                <w:rFonts w:hint="eastAsia"/>
                <w:kern w:val="0"/>
                <w:sz w:val="24"/>
              </w:rPr>
              <w:t>①设备选型上选用先进的、噪音低、震动小的生产设备，安装时采取台基减震、橡胶减震接头以及减震垫等措施；</w:t>
            </w:r>
          </w:p>
          <w:p w14:paraId="4F29E218">
            <w:pPr>
              <w:spacing w:line="360" w:lineRule="auto"/>
              <w:ind w:firstLine="480" w:firstLineChars="200"/>
              <w:rPr>
                <w:kern w:val="0"/>
                <w:sz w:val="24"/>
              </w:rPr>
            </w:pPr>
            <w:r>
              <w:rPr>
                <w:rFonts w:hint="eastAsia"/>
                <w:kern w:val="0"/>
                <w:sz w:val="24"/>
              </w:rPr>
              <w:t>②建立设备定期维护，保养的管理制度，以防止设备故障形成的非正常生产噪声，同时确保环保措施发挥最佳有效的功能；加强职工环保意识教育，提倡文明生产，防止人为噪声。</w:t>
            </w:r>
          </w:p>
          <w:p w14:paraId="14D38871">
            <w:pPr>
              <w:spacing w:line="360" w:lineRule="auto"/>
              <w:ind w:firstLine="480" w:firstLineChars="200"/>
              <w:rPr>
                <w:kern w:val="0"/>
                <w:sz w:val="24"/>
              </w:rPr>
            </w:pPr>
            <w:r>
              <w:rPr>
                <w:rFonts w:hint="eastAsia"/>
                <w:kern w:val="0"/>
                <w:sz w:val="24"/>
              </w:rPr>
              <w:t>③通过对工作人员进行培训，要求进行文明作业，要求驾驶员在进出厂区及通过住户路段通过降速行驶，禁止鸣笛等方式来避免产生不必要的高噪声；</w:t>
            </w:r>
          </w:p>
          <w:p w14:paraId="122602BD">
            <w:pPr>
              <w:spacing w:line="360" w:lineRule="auto"/>
              <w:ind w:firstLine="480" w:firstLineChars="200"/>
              <w:rPr>
                <w:kern w:val="0"/>
                <w:sz w:val="24"/>
              </w:rPr>
            </w:pPr>
            <w:r>
              <w:rPr>
                <w:rFonts w:hint="eastAsia"/>
                <w:kern w:val="0"/>
                <w:sz w:val="24"/>
              </w:rPr>
              <w:t>④企业对运输车辆驾驶员进行培训，要求通过住户区域时进行降速行驶，并禁止鸣笛。</w:t>
            </w:r>
          </w:p>
          <w:p w14:paraId="5743BC2A">
            <w:pPr>
              <w:spacing w:line="360" w:lineRule="auto"/>
              <w:ind w:firstLine="480" w:firstLineChars="200"/>
              <w:rPr>
                <w:kern w:val="0"/>
                <w:sz w:val="24"/>
              </w:rPr>
            </w:pPr>
            <w:r>
              <w:rPr>
                <w:rFonts w:hint="eastAsia"/>
                <w:kern w:val="0"/>
                <w:sz w:val="24"/>
              </w:rPr>
              <w:t>⑤企业昼间生产作业，夜间（22：00～6:00）禁止生产，合理的安排生产时间。</w:t>
            </w:r>
          </w:p>
          <w:p w14:paraId="5C96773D">
            <w:pPr>
              <w:spacing w:line="360" w:lineRule="auto"/>
              <w:ind w:firstLine="480" w:firstLineChars="200"/>
              <w:rPr>
                <w:kern w:val="0"/>
                <w:sz w:val="24"/>
              </w:rPr>
            </w:pPr>
            <w:r>
              <w:rPr>
                <w:rFonts w:hint="eastAsia"/>
                <w:kern w:val="0"/>
                <w:sz w:val="24"/>
              </w:rPr>
              <w:t>⑥对撕碎机、三相分离机等主要产噪设备设置在全封闭的厂房内运行，同时对设备进行密闭连接处理。</w:t>
            </w:r>
          </w:p>
          <w:p w14:paraId="6ECFD2D5">
            <w:pPr>
              <w:keepNext w:val="0"/>
              <w:keepLines w:val="0"/>
              <w:pageBreakBefore w:val="0"/>
              <w:kinsoku/>
              <w:wordWrap/>
              <w:overflowPunct/>
              <w:topLinePunct w:val="0"/>
              <w:autoSpaceDE/>
              <w:autoSpaceDN/>
              <w:bidi w:val="0"/>
              <w:adjustRightInd/>
              <w:snapToGrid/>
              <w:spacing w:line="360" w:lineRule="auto"/>
              <w:ind w:firstLine="480"/>
              <w:jc w:val="center"/>
              <w:textAlignment w:val="auto"/>
            </w:pPr>
            <w:r>
              <w:drawing>
                <wp:inline distT="0" distB="0" distL="114300" distR="114300">
                  <wp:extent cx="3522980" cy="2618105"/>
                  <wp:effectExtent l="0" t="0" r="1270" b="10795"/>
                  <wp:docPr id="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pic:cNvPicPr>
                            <a:picLocks noChangeAspect="1"/>
                          </pic:cNvPicPr>
                        </pic:nvPicPr>
                        <pic:blipFill>
                          <a:blip r:embed="rId36"/>
                          <a:stretch>
                            <a:fillRect/>
                          </a:stretch>
                        </pic:blipFill>
                        <pic:spPr>
                          <a:xfrm>
                            <a:off x="0" y="0"/>
                            <a:ext cx="3522980" cy="2618105"/>
                          </a:xfrm>
                          <a:prstGeom prst="rect">
                            <a:avLst/>
                          </a:prstGeom>
                          <a:noFill/>
                          <a:ln>
                            <a:noFill/>
                          </a:ln>
                        </pic:spPr>
                      </pic:pic>
                    </a:graphicData>
                  </a:graphic>
                </wp:inline>
              </w:drawing>
            </w:r>
          </w:p>
          <w:p w14:paraId="501CB540">
            <w:pPr>
              <w:pStyle w:val="2"/>
              <w:rPr>
                <w:rFonts w:hint="default"/>
              </w:rPr>
            </w:pPr>
            <w:r>
              <w:rPr>
                <w:rFonts w:hint="eastAsia" w:ascii="宋体" w:hAnsi="宋体" w:cs="宋体"/>
                <w:b/>
                <w:bCs/>
                <w:color w:val="auto"/>
                <w:sz w:val="21"/>
                <w:szCs w:val="21"/>
                <w:lang w:val="en-US" w:eastAsia="zh-CN"/>
              </w:rPr>
              <w:t xml:space="preserve">                                     图3-6</w:t>
            </w:r>
            <w:r>
              <w:rPr>
                <w:rFonts w:hint="eastAsia" w:ascii="宋体" w:hAnsi="宋体" w:cs="宋体"/>
                <w:b/>
                <w:bCs/>
                <w:color w:val="C00000"/>
                <w:sz w:val="21"/>
                <w:szCs w:val="21"/>
                <w:lang w:val="en-US" w:eastAsia="zh-CN"/>
              </w:rPr>
              <w:t xml:space="preserve"> </w:t>
            </w:r>
            <w:r>
              <w:rPr>
                <w:rFonts w:hint="eastAsia" w:ascii="宋体" w:hAnsi="宋体" w:cs="宋体"/>
                <w:b/>
                <w:bCs/>
                <w:color w:val="auto"/>
                <w:sz w:val="21"/>
                <w:szCs w:val="21"/>
                <w:lang w:val="en-US" w:eastAsia="zh-CN"/>
              </w:rPr>
              <w:t>封闭的厂房</w:t>
            </w:r>
          </w:p>
          <w:p w14:paraId="430B733B">
            <w:pPr>
              <w:pStyle w:val="5"/>
              <w:numPr>
                <w:ilvl w:val="2"/>
                <w:numId w:val="0"/>
              </w:numPr>
              <w:tabs>
                <w:tab w:val="clear" w:pos="420"/>
              </w:tabs>
              <w:bidi w:val="0"/>
              <w:rPr>
                <w:rFonts w:hint="eastAsia"/>
                <w:lang w:val="en-US" w:eastAsia="zh-CN"/>
              </w:rPr>
            </w:pPr>
            <w:r>
              <w:rPr>
                <w:rFonts w:hint="default" w:ascii="Times New Roman" w:hAnsi="Times New Roman" w:eastAsia="宋体" w:cs="Times New Roman"/>
                <w:b/>
                <w:bCs w:val="0"/>
                <w:color w:val="auto"/>
                <w:sz w:val="24"/>
                <w:szCs w:val="24"/>
              </w:rPr>
              <w:t>表</w:t>
            </w:r>
            <w:r>
              <w:rPr>
                <w:rFonts w:hint="eastAsia" w:ascii="Times New Roman" w:hAnsi="Times New Roman" w:eastAsia="宋体" w:cs="Times New Roman"/>
                <w:b/>
                <w:bCs w:val="0"/>
                <w:color w:val="auto"/>
                <w:sz w:val="24"/>
                <w:szCs w:val="24"/>
                <w:lang w:val="en-US" w:eastAsia="zh-CN"/>
              </w:rPr>
              <w:t>3</w:t>
            </w:r>
            <w:r>
              <w:rPr>
                <w:rFonts w:hint="default" w:ascii="Times New Roman" w:hAnsi="Times New Roman" w:eastAsia="宋体" w:cs="Times New Roman"/>
                <w:b/>
                <w:bCs w:val="0"/>
                <w:color w:val="auto"/>
                <w:sz w:val="24"/>
                <w:szCs w:val="24"/>
              </w:rPr>
              <w:t>-</w:t>
            </w:r>
            <w:r>
              <w:rPr>
                <w:rFonts w:hint="eastAsia" w:ascii="Times New Roman" w:hAnsi="Times New Roman" w:eastAsia="宋体" w:cs="Times New Roman"/>
                <w:b/>
                <w:bCs w:val="0"/>
                <w:color w:val="auto"/>
                <w:sz w:val="24"/>
                <w:szCs w:val="24"/>
                <w:lang w:val="en-US" w:eastAsia="zh-CN"/>
              </w:rPr>
              <w:t>3</w:t>
            </w:r>
            <w:r>
              <w:rPr>
                <w:rFonts w:hint="default" w:ascii="Times New Roman" w:hAnsi="Times New Roman" w:eastAsia="宋体" w:cs="Times New Roman"/>
                <w:b/>
                <w:bCs w:val="0"/>
                <w:color w:val="auto"/>
                <w:sz w:val="24"/>
                <w:szCs w:val="24"/>
                <w:lang w:val="en-US" w:eastAsia="zh-TW"/>
              </w:rPr>
              <w:t xml:space="preserve">  </w:t>
            </w:r>
            <w:r>
              <w:rPr>
                <w:rFonts w:hint="eastAsia" w:ascii="Times New Roman" w:hAnsi="Times New Roman" w:eastAsia="宋体" w:cs="Times New Roman"/>
                <w:b/>
                <w:bCs w:val="0"/>
                <w:color w:val="auto"/>
                <w:sz w:val="24"/>
                <w:szCs w:val="24"/>
                <w:lang w:eastAsia="zh-CN"/>
              </w:rPr>
              <w:t>噪声</w:t>
            </w:r>
            <w:r>
              <w:rPr>
                <w:rFonts w:hint="default" w:ascii="Times New Roman" w:hAnsi="Times New Roman" w:eastAsia="宋体" w:cs="Times New Roman"/>
                <w:b/>
                <w:bCs w:val="0"/>
                <w:color w:val="auto"/>
                <w:sz w:val="24"/>
                <w:szCs w:val="24"/>
                <w:lang w:eastAsia="zh-TW"/>
              </w:rPr>
              <w:t>排放及治理措施表</w:t>
            </w:r>
          </w:p>
          <w:tbl>
            <w:tblPr>
              <w:tblStyle w:val="33"/>
              <w:tblW w:w="894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830"/>
              <w:gridCol w:w="2010"/>
              <w:gridCol w:w="4080"/>
            </w:tblGrid>
            <w:tr w14:paraId="65248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574" w:type="pct"/>
                  <w:shd w:val="clear" w:color="auto" w:fill="auto"/>
                  <w:vAlign w:val="center"/>
                </w:tcPr>
                <w:p w14:paraId="51BAB683">
                  <w:pPr>
                    <w:adjustRightInd w:val="0"/>
                    <w:snapToGrid w:val="0"/>
                    <w:jc w:val="center"/>
                    <w:rPr>
                      <w:rFonts w:hint="eastAsia" w:eastAsia="宋体"/>
                      <w:bCs/>
                      <w:kern w:val="0"/>
                      <w:szCs w:val="21"/>
                      <w:lang w:eastAsia="zh-CN"/>
                    </w:rPr>
                  </w:pPr>
                  <w:r>
                    <w:rPr>
                      <w:rFonts w:hint="eastAsia"/>
                      <w:bCs/>
                      <w:kern w:val="0"/>
                      <w:szCs w:val="21"/>
                      <w:lang w:eastAsia="zh-CN"/>
                    </w:rPr>
                    <w:t>序号</w:t>
                  </w:r>
                </w:p>
              </w:tc>
              <w:tc>
                <w:tcPr>
                  <w:tcW w:w="1022" w:type="pct"/>
                  <w:shd w:val="clear" w:color="auto" w:fill="auto"/>
                  <w:vAlign w:val="center"/>
                </w:tcPr>
                <w:p w14:paraId="19D1A974">
                  <w:pPr>
                    <w:adjustRightInd w:val="0"/>
                    <w:snapToGrid w:val="0"/>
                    <w:jc w:val="center"/>
                    <w:rPr>
                      <w:rFonts w:hint="eastAsia" w:eastAsia="宋体"/>
                      <w:bCs/>
                      <w:kern w:val="0"/>
                      <w:szCs w:val="21"/>
                      <w:lang w:eastAsia="zh-CN"/>
                    </w:rPr>
                  </w:pPr>
                  <w:r>
                    <w:rPr>
                      <w:rFonts w:hint="eastAsia" w:hAnsi="宋体"/>
                      <w:b/>
                      <w:kern w:val="0"/>
                      <w:szCs w:val="21"/>
                      <w:lang w:eastAsia="zh-CN"/>
                    </w:rPr>
                    <w:t>噪声源</w:t>
                  </w:r>
                </w:p>
              </w:tc>
              <w:tc>
                <w:tcPr>
                  <w:tcW w:w="1123" w:type="pct"/>
                  <w:vAlign w:val="center"/>
                </w:tcPr>
                <w:p w14:paraId="63DDFC4F">
                  <w:pPr>
                    <w:adjustRightInd w:val="0"/>
                    <w:snapToGrid w:val="0"/>
                    <w:jc w:val="center"/>
                    <w:rPr>
                      <w:rFonts w:hint="eastAsia" w:eastAsia="宋体"/>
                      <w:bCs/>
                      <w:kern w:val="0"/>
                      <w:szCs w:val="21"/>
                      <w:lang w:eastAsia="zh-CN"/>
                    </w:rPr>
                  </w:pPr>
                  <w:r>
                    <w:rPr>
                      <w:rFonts w:hint="eastAsia" w:hAnsi="宋体"/>
                      <w:b/>
                      <w:kern w:val="0"/>
                      <w:szCs w:val="21"/>
                      <w:lang w:eastAsia="zh-CN"/>
                    </w:rPr>
                    <w:t>位置</w:t>
                  </w:r>
                </w:p>
              </w:tc>
              <w:tc>
                <w:tcPr>
                  <w:tcW w:w="2279" w:type="pct"/>
                  <w:shd w:val="clear" w:color="auto" w:fill="auto"/>
                  <w:vAlign w:val="center"/>
                </w:tcPr>
                <w:p w14:paraId="5300073A">
                  <w:pPr>
                    <w:widowControl/>
                    <w:adjustRightInd w:val="0"/>
                    <w:snapToGrid w:val="0"/>
                    <w:jc w:val="center"/>
                    <w:rPr>
                      <w:rFonts w:hint="eastAsia" w:eastAsia="宋体"/>
                      <w:b/>
                      <w:kern w:val="0"/>
                      <w:szCs w:val="21"/>
                      <w:lang w:eastAsia="zh-CN"/>
                    </w:rPr>
                  </w:pPr>
                  <w:r>
                    <w:rPr>
                      <w:rFonts w:hint="eastAsia"/>
                      <w:b/>
                      <w:szCs w:val="21"/>
                      <w:lang w:eastAsia="zh-CN"/>
                    </w:rPr>
                    <w:t>治理措施</w:t>
                  </w:r>
                </w:p>
              </w:tc>
            </w:tr>
            <w:tr w14:paraId="1AA3D4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74" w:type="pct"/>
                  <w:shd w:val="clear" w:color="auto" w:fill="auto"/>
                  <w:vAlign w:val="center"/>
                </w:tcPr>
                <w:p w14:paraId="4C85F0DE">
                  <w:pPr>
                    <w:widowControl/>
                    <w:adjustRightInd w:val="0"/>
                    <w:snapToGrid w:val="0"/>
                    <w:jc w:val="center"/>
                    <w:rPr>
                      <w:rFonts w:hint="eastAsia" w:eastAsia="宋体"/>
                      <w:kern w:val="0"/>
                      <w:szCs w:val="21"/>
                      <w:lang w:val="en-US" w:eastAsia="zh-CN"/>
                    </w:rPr>
                  </w:pPr>
                  <w:r>
                    <w:rPr>
                      <w:rFonts w:hint="eastAsia"/>
                      <w:kern w:val="0"/>
                      <w:szCs w:val="21"/>
                      <w:lang w:val="en-US" w:eastAsia="zh-CN"/>
                    </w:rPr>
                    <w:t>1</w:t>
                  </w:r>
                </w:p>
              </w:tc>
              <w:tc>
                <w:tcPr>
                  <w:tcW w:w="1022" w:type="pct"/>
                  <w:shd w:val="clear" w:color="auto" w:fill="auto"/>
                  <w:vAlign w:val="center"/>
                </w:tcPr>
                <w:p w14:paraId="3824066F">
                  <w:pPr>
                    <w:pStyle w:val="2"/>
                    <w:adjustRightInd w:val="0"/>
                    <w:spacing w:before="0" w:after="0" w:line="240" w:lineRule="auto"/>
                    <w:ind w:right="0" w:rightChars="0"/>
                    <w:jc w:val="center"/>
                    <w:rPr>
                      <w:rFonts w:hint="eastAsia" w:ascii="Times New Roman" w:hAnsi="宋体" w:eastAsia="宋体" w:cs="Times New Roman"/>
                      <w:kern w:val="0"/>
                      <w:szCs w:val="21"/>
                      <w:lang w:eastAsia="zh-CN"/>
                    </w:rPr>
                  </w:pPr>
                  <w:r>
                    <w:rPr>
                      <w:sz w:val="21"/>
                      <w:szCs w:val="21"/>
                    </w:rPr>
                    <w:t>撕碎机</w:t>
                  </w:r>
                </w:p>
              </w:tc>
              <w:tc>
                <w:tcPr>
                  <w:tcW w:w="1123" w:type="pct"/>
                  <w:vAlign w:val="center"/>
                </w:tcPr>
                <w:p w14:paraId="7D8E85AE">
                  <w:pPr>
                    <w:widowControl/>
                    <w:adjustRightInd w:val="0"/>
                    <w:snapToGrid w:val="0"/>
                    <w:jc w:val="center"/>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餐厨垃圾处理车间</w:t>
                  </w:r>
                </w:p>
              </w:tc>
              <w:tc>
                <w:tcPr>
                  <w:tcW w:w="2279" w:type="pct"/>
                  <w:vMerge w:val="restart"/>
                  <w:shd w:val="clear" w:color="auto" w:fill="auto"/>
                  <w:vAlign w:val="center"/>
                </w:tcPr>
                <w:p w14:paraId="089208C2">
                  <w:pPr>
                    <w:pStyle w:val="2"/>
                    <w:adjustRightInd w:val="0"/>
                    <w:spacing w:before="0" w:after="0" w:line="240" w:lineRule="auto"/>
                    <w:ind w:right="0"/>
                    <w:jc w:val="center"/>
                    <w:rPr>
                      <w:rFonts w:hint="eastAsia" w:ascii="Times New Roman" w:hAnsi="宋体" w:eastAsia="宋体" w:cs="Times New Roman"/>
                      <w:kern w:val="0"/>
                      <w:szCs w:val="21"/>
                      <w:lang w:eastAsia="zh-CN"/>
                    </w:rPr>
                  </w:pPr>
                  <w:r>
                    <w:rPr>
                      <w:sz w:val="21"/>
                      <w:szCs w:val="21"/>
                    </w:rPr>
                    <w:t>设备基础减震、厂房隔声、昼间生产</w:t>
                  </w:r>
                </w:p>
              </w:tc>
            </w:tr>
            <w:tr w14:paraId="6E94A2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74" w:type="pct"/>
                  <w:shd w:val="clear" w:color="auto" w:fill="auto"/>
                  <w:vAlign w:val="center"/>
                </w:tcPr>
                <w:p w14:paraId="6884426F">
                  <w:pPr>
                    <w:widowControl/>
                    <w:adjustRightInd w:val="0"/>
                    <w:snapToGrid w:val="0"/>
                    <w:jc w:val="center"/>
                    <w:rPr>
                      <w:rFonts w:hint="default"/>
                      <w:kern w:val="0"/>
                      <w:szCs w:val="21"/>
                      <w:lang w:val="en-US" w:eastAsia="zh-CN"/>
                    </w:rPr>
                  </w:pPr>
                  <w:r>
                    <w:rPr>
                      <w:rFonts w:hint="eastAsia"/>
                      <w:kern w:val="0"/>
                      <w:szCs w:val="21"/>
                      <w:lang w:val="en-US" w:eastAsia="zh-CN"/>
                    </w:rPr>
                    <w:t>2</w:t>
                  </w:r>
                </w:p>
              </w:tc>
              <w:tc>
                <w:tcPr>
                  <w:tcW w:w="1022" w:type="pct"/>
                  <w:shd w:val="clear" w:color="auto" w:fill="auto"/>
                  <w:vAlign w:val="center"/>
                </w:tcPr>
                <w:p w14:paraId="0F7943BD">
                  <w:pPr>
                    <w:pStyle w:val="2"/>
                    <w:adjustRightInd w:val="0"/>
                    <w:spacing w:before="0" w:after="0" w:line="240" w:lineRule="auto"/>
                    <w:ind w:right="0" w:rightChars="0"/>
                    <w:jc w:val="center"/>
                    <w:rPr>
                      <w:rFonts w:hint="eastAsia" w:ascii="Times New Roman" w:hAnsi="宋体" w:eastAsia="宋体" w:cs="Times New Roman"/>
                      <w:kern w:val="0"/>
                      <w:szCs w:val="21"/>
                      <w:lang w:eastAsia="zh-CN"/>
                    </w:rPr>
                  </w:pPr>
                  <w:r>
                    <w:rPr>
                      <w:sz w:val="21"/>
                      <w:szCs w:val="21"/>
                    </w:rPr>
                    <w:t>水洗制浆一体机</w:t>
                  </w:r>
                </w:p>
              </w:tc>
              <w:tc>
                <w:tcPr>
                  <w:tcW w:w="1123" w:type="pct"/>
                  <w:vAlign w:val="center"/>
                </w:tcPr>
                <w:p w14:paraId="045B85FF">
                  <w:pPr>
                    <w:widowControl/>
                    <w:adjustRightInd w:val="0"/>
                    <w:snapToGrid w:val="0"/>
                    <w:jc w:val="center"/>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餐厨垃圾处理车间</w:t>
                  </w:r>
                </w:p>
              </w:tc>
              <w:tc>
                <w:tcPr>
                  <w:tcW w:w="2279" w:type="pct"/>
                  <w:vMerge w:val="continue"/>
                  <w:shd w:val="clear" w:color="auto" w:fill="auto"/>
                  <w:vAlign w:val="center"/>
                </w:tcPr>
                <w:p w14:paraId="6E64FB17">
                  <w:pPr>
                    <w:widowControl/>
                    <w:adjustRightInd w:val="0"/>
                    <w:snapToGrid w:val="0"/>
                    <w:jc w:val="center"/>
                    <w:rPr>
                      <w:rFonts w:hint="eastAsia" w:ascii="Times New Roman" w:hAnsi="宋体" w:eastAsia="宋体" w:cs="Times New Roman"/>
                      <w:kern w:val="0"/>
                      <w:szCs w:val="21"/>
                      <w:lang w:eastAsia="zh-CN"/>
                    </w:rPr>
                  </w:pPr>
                </w:p>
              </w:tc>
            </w:tr>
            <w:tr w14:paraId="26EB5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74" w:type="pct"/>
                  <w:shd w:val="clear" w:color="auto" w:fill="auto"/>
                  <w:vAlign w:val="center"/>
                </w:tcPr>
                <w:p w14:paraId="6A0C59E0">
                  <w:pPr>
                    <w:widowControl/>
                    <w:adjustRightInd w:val="0"/>
                    <w:snapToGrid w:val="0"/>
                    <w:jc w:val="center"/>
                    <w:rPr>
                      <w:rFonts w:hint="default"/>
                      <w:kern w:val="0"/>
                      <w:szCs w:val="21"/>
                      <w:lang w:val="en-US" w:eastAsia="zh-CN"/>
                    </w:rPr>
                  </w:pPr>
                  <w:r>
                    <w:rPr>
                      <w:rFonts w:hint="eastAsia"/>
                      <w:kern w:val="0"/>
                      <w:szCs w:val="21"/>
                      <w:lang w:val="en-US" w:eastAsia="zh-CN"/>
                    </w:rPr>
                    <w:t>3</w:t>
                  </w:r>
                </w:p>
              </w:tc>
              <w:tc>
                <w:tcPr>
                  <w:tcW w:w="1022" w:type="pct"/>
                  <w:shd w:val="clear" w:color="auto" w:fill="auto"/>
                  <w:vAlign w:val="center"/>
                </w:tcPr>
                <w:p w14:paraId="026BDEEA">
                  <w:pPr>
                    <w:pStyle w:val="2"/>
                    <w:adjustRightInd w:val="0"/>
                    <w:spacing w:before="0" w:after="0" w:line="240" w:lineRule="auto"/>
                    <w:ind w:right="0" w:rightChars="0"/>
                    <w:jc w:val="center"/>
                    <w:rPr>
                      <w:rFonts w:hint="eastAsia" w:ascii="Times New Roman" w:hAnsi="宋体" w:eastAsia="宋体" w:cs="Times New Roman"/>
                      <w:kern w:val="0"/>
                      <w:szCs w:val="21"/>
                      <w:lang w:eastAsia="zh-CN"/>
                    </w:rPr>
                  </w:pPr>
                  <w:r>
                    <w:rPr>
                      <w:sz w:val="21"/>
                      <w:szCs w:val="21"/>
                    </w:rPr>
                    <w:t>过滤机</w:t>
                  </w:r>
                </w:p>
              </w:tc>
              <w:tc>
                <w:tcPr>
                  <w:tcW w:w="1123" w:type="pct"/>
                  <w:vAlign w:val="center"/>
                </w:tcPr>
                <w:p w14:paraId="3AC5061E">
                  <w:pPr>
                    <w:widowControl/>
                    <w:adjustRightInd w:val="0"/>
                    <w:snapToGrid w:val="0"/>
                    <w:jc w:val="center"/>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餐厨垃圾处理车间</w:t>
                  </w:r>
                </w:p>
              </w:tc>
              <w:tc>
                <w:tcPr>
                  <w:tcW w:w="2279" w:type="pct"/>
                  <w:vMerge w:val="continue"/>
                  <w:shd w:val="clear" w:color="auto" w:fill="auto"/>
                  <w:vAlign w:val="center"/>
                </w:tcPr>
                <w:p w14:paraId="5F298C31">
                  <w:pPr>
                    <w:widowControl/>
                    <w:adjustRightInd w:val="0"/>
                    <w:snapToGrid w:val="0"/>
                    <w:jc w:val="center"/>
                    <w:rPr>
                      <w:rFonts w:hint="eastAsia" w:ascii="Times New Roman" w:hAnsi="宋体" w:eastAsia="宋体" w:cs="Times New Roman"/>
                      <w:kern w:val="0"/>
                      <w:szCs w:val="21"/>
                      <w:lang w:eastAsia="zh-CN"/>
                    </w:rPr>
                  </w:pPr>
                </w:p>
              </w:tc>
            </w:tr>
            <w:tr w14:paraId="7DB1BA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74" w:type="pct"/>
                  <w:shd w:val="clear" w:color="auto" w:fill="auto"/>
                  <w:vAlign w:val="center"/>
                </w:tcPr>
                <w:p w14:paraId="31D73402">
                  <w:pPr>
                    <w:widowControl/>
                    <w:adjustRightInd w:val="0"/>
                    <w:snapToGrid w:val="0"/>
                    <w:jc w:val="center"/>
                    <w:rPr>
                      <w:rFonts w:hint="default"/>
                      <w:kern w:val="0"/>
                      <w:szCs w:val="21"/>
                      <w:lang w:val="en-US" w:eastAsia="zh-CN"/>
                    </w:rPr>
                  </w:pPr>
                  <w:r>
                    <w:rPr>
                      <w:rFonts w:hint="eastAsia"/>
                      <w:kern w:val="0"/>
                      <w:szCs w:val="21"/>
                      <w:lang w:val="en-US" w:eastAsia="zh-CN"/>
                    </w:rPr>
                    <w:t>4</w:t>
                  </w:r>
                </w:p>
              </w:tc>
              <w:tc>
                <w:tcPr>
                  <w:tcW w:w="1022" w:type="pct"/>
                  <w:shd w:val="clear" w:color="auto" w:fill="auto"/>
                  <w:vAlign w:val="center"/>
                </w:tcPr>
                <w:p w14:paraId="52023DCF">
                  <w:pPr>
                    <w:pStyle w:val="2"/>
                    <w:adjustRightInd w:val="0"/>
                    <w:spacing w:before="0" w:after="0" w:line="240" w:lineRule="auto"/>
                    <w:ind w:right="0" w:rightChars="0"/>
                    <w:jc w:val="center"/>
                    <w:rPr>
                      <w:rFonts w:hint="eastAsia" w:ascii="Times New Roman" w:hAnsi="宋体" w:eastAsia="宋体" w:cs="Times New Roman"/>
                      <w:kern w:val="0"/>
                      <w:szCs w:val="21"/>
                      <w:lang w:eastAsia="zh-CN"/>
                    </w:rPr>
                  </w:pPr>
                  <w:r>
                    <w:rPr>
                      <w:sz w:val="21"/>
                      <w:szCs w:val="21"/>
                    </w:rPr>
                    <w:t>三相分离机</w:t>
                  </w:r>
                </w:p>
              </w:tc>
              <w:tc>
                <w:tcPr>
                  <w:tcW w:w="1123" w:type="pct"/>
                  <w:vAlign w:val="center"/>
                </w:tcPr>
                <w:p w14:paraId="024B39C9">
                  <w:pPr>
                    <w:widowControl/>
                    <w:adjustRightInd w:val="0"/>
                    <w:snapToGrid w:val="0"/>
                    <w:jc w:val="center"/>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餐厨垃圾处理车间</w:t>
                  </w:r>
                </w:p>
              </w:tc>
              <w:tc>
                <w:tcPr>
                  <w:tcW w:w="2279" w:type="pct"/>
                  <w:vMerge w:val="continue"/>
                  <w:shd w:val="clear" w:color="auto" w:fill="auto"/>
                  <w:vAlign w:val="center"/>
                </w:tcPr>
                <w:p w14:paraId="5E73452C">
                  <w:pPr>
                    <w:widowControl/>
                    <w:adjustRightInd w:val="0"/>
                    <w:snapToGrid w:val="0"/>
                    <w:jc w:val="center"/>
                    <w:rPr>
                      <w:rFonts w:hint="eastAsia" w:ascii="Times New Roman" w:hAnsi="宋体" w:eastAsia="宋体" w:cs="Times New Roman"/>
                      <w:kern w:val="0"/>
                      <w:szCs w:val="21"/>
                      <w:lang w:eastAsia="zh-CN"/>
                    </w:rPr>
                  </w:pPr>
                </w:p>
              </w:tc>
            </w:tr>
            <w:tr w14:paraId="336903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74" w:type="pct"/>
                  <w:shd w:val="clear" w:color="auto" w:fill="auto"/>
                  <w:vAlign w:val="center"/>
                </w:tcPr>
                <w:p w14:paraId="7684F12E">
                  <w:pPr>
                    <w:widowControl/>
                    <w:adjustRightInd w:val="0"/>
                    <w:snapToGrid w:val="0"/>
                    <w:jc w:val="center"/>
                    <w:rPr>
                      <w:rFonts w:hint="default"/>
                      <w:kern w:val="0"/>
                      <w:szCs w:val="21"/>
                      <w:lang w:val="en-US" w:eastAsia="zh-CN"/>
                    </w:rPr>
                  </w:pPr>
                  <w:r>
                    <w:rPr>
                      <w:rFonts w:hint="eastAsia"/>
                      <w:kern w:val="0"/>
                      <w:szCs w:val="21"/>
                      <w:lang w:val="en-US" w:eastAsia="zh-CN"/>
                    </w:rPr>
                    <w:t>5</w:t>
                  </w:r>
                </w:p>
              </w:tc>
              <w:tc>
                <w:tcPr>
                  <w:tcW w:w="1022" w:type="pct"/>
                  <w:shd w:val="clear" w:color="auto" w:fill="auto"/>
                  <w:vAlign w:val="center"/>
                </w:tcPr>
                <w:p w14:paraId="131C7071">
                  <w:pPr>
                    <w:pStyle w:val="2"/>
                    <w:adjustRightInd w:val="0"/>
                    <w:spacing w:before="0" w:after="0" w:line="240" w:lineRule="auto"/>
                    <w:ind w:right="0" w:rightChars="0"/>
                    <w:jc w:val="center"/>
                    <w:rPr>
                      <w:sz w:val="21"/>
                      <w:szCs w:val="21"/>
                    </w:rPr>
                  </w:pPr>
                  <w:r>
                    <w:rPr>
                      <w:sz w:val="21"/>
                      <w:szCs w:val="21"/>
                    </w:rPr>
                    <w:t>泵体</w:t>
                  </w:r>
                </w:p>
              </w:tc>
              <w:tc>
                <w:tcPr>
                  <w:tcW w:w="1123" w:type="pct"/>
                  <w:vAlign w:val="center"/>
                </w:tcPr>
                <w:p w14:paraId="2DD156FF">
                  <w:pPr>
                    <w:widowControl/>
                    <w:adjustRightInd w:val="0"/>
                    <w:snapToGrid w:val="0"/>
                    <w:jc w:val="center"/>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餐厨垃圾处理车间</w:t>
                  </w:r>
                </w:p>
              </w:tc>
              <w:tc>
                <w:tcPr>
                  <w:tcW w:w="2279" w:type="pct"/>
                  <w:vMerge w:val="continue"/>
                  <w:shd w:val="clear" w:color="auto" w:fill="auto"/>
                  <w:vAlign w:val="center"/>
                </w:tcPr>
                <w:p w14:paraId="4F57524B">
                  <w:pPr>
                    <w:widowControl/>
                    <w:adjustRightInd w:val="0"/>
                    <w:snapToGrid w:val="0"/>
                    <w:jc w:val="center"/>
                    <w:rPr>
                      <w:rFonts w:hint="eastAsia" w:ascii="Times New Roman" w:hAnsi="宋体" w:eastAsia="宋体" w:cs="Times New Roman"/>
                      <w:kern w:val="0"/>
                      <w:szCs w:val="21"/>
                      <w:lang w:eastAsia="zh-CN"/>
                    </w:rPr>
                  </w:pPr>
                </w:p>
              </w:tc>
            </w:tr>
            <w:tr w14:paraId="1F060E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74" w:type="pct"/>
                  <w:shd w:val="clear" w:color="auto" w:fill="auto"/>
                  <w:vAlign w:val="center"/>
                </w:tcPr>
                <w:p w14:paraId="7C1B42B9">
                  <w:pPr>
                    <w:widowControl/>
                    <w:adjustRightInd w:val="0"/>
                    <w:snapToGrid w:val="0"/>
                    <w:jc w:val="center"/>
                    <w:rPr>
                      <w:rFonts w:hint="default"/>
                      <w:kern w:val="0"/>
                      <w:szCs w:val="21"/>
                      <w:lang w:val="en-US" w:eastAsia="zh-CN"/>
                    </w:rPr>
                  </w:pPr>
                  <w:r>
                    <w:rPr>
                      <w:rFonts w:hint="eastAsia"/>
                      <w:kern w:val="0"/>
                      <w:szCs w:val="21"/>
                      <w:lang w:val="en-US" w:eastAsia="zh-CN"/>
                    </w:rPr>
                    <w:t>6</w:t>
                  </w:r>
                </w:p>
              </w:tc>
              <w:tc>
                <w:tcPr>
                  <w:tcW w:w="1022" w:type="pct"/>
                  <w:shd w:val="clear" w:color="auto" w:fill="auto"/>
                  <w:vAlign w:val="center"/>
                </w:tcPr>
                <w:p w14:paraId="729ED0EB">
                  <w:pPr>
                    <w:pStyle w:val="2"/>
                    <w:adjustRightInd w:val="0"/>
                    <w:spacing w:before="0" w:after="0" w:line="240" w:lineRule="auto"/>
                    <w:ind w:right="0" w:rightChars="0"/>
                    <w:jc w:val="center"/>
                    <w:rPr>
                      <w:sz w:val="21"/>
                      <w:szCs w:val="21"/>
                    </w:rPr>
                  </w:pPr>
                  <w:r>
                    <w:rPr>
                      <w:sz w:val="21"/>
                      <w:szCs w:val="21"/>
                    </w:rPr>
                    <w:t>风机</w:t>
                  </w:r>
                </w:p>
              </w:tc>
              <w:tc>
                <w:tcPr>
                  <w:tcW w:w="1123" w:type="pct"/>
                  <w:vAlign w:val="center"/>
                </w:tcPr>
                <w:p w14:paraId="69FEE2C6">
                  <w:pPr>
                    <w:widowControl/>
                    <w:adjustRightInd w:val="0"/>
                    <w:snapToGrid w:val="0"/>
                    <w:jc w:val="center"/>
                    <w:rPr>
                      <w:rFonts w:hint="eastAsia" w:ascii="Times New Roman" w:hAnsi="宋体" w:eastAsia="宋体" w:cs="Times New Roman"/>
                      <w:kern w:val="0"/>
                      <w:szCs w:val="21"/>
                      <w:lang w:eastAsia="zh-CN"/>
                    </w:rPr>
                  </w:pPr>
                  <w:r>
                    <w:rPr>
                      <w:rFonts w:hint="eastAsia" w:ascii="Times New Roman" w:hAnsi="宋体" w:eastAsia="宋体" w:cs="Times New Roman"/>
                      <w:kern w:val="0"/>
                      <w:szCs w:val="21"/>
                      <w:lang w:eastAsia="zh-CN"/>
                    </w:rPr>
                    <w:t>锅炉房、餐厨垃圾处理车间</w:t>
                  </w:r>
                </w:p>
              </w:tc>
              <w:tc>
                <w:tcPr>
                  <w:tcW w:w="2279" w:type="pct"/>
                  <w:vMerge w:val="continue"/>
                  <w:shd w:val="clear" w:color="auto" w:fill="auto"/>
                  <w:vAlign w:val="center"/>
                </w:tcPr>
                <w:p w14:paraId="2473A962">
                  <w:pPr>
                    <w:widowControl/>
                    <w:adjustRightInd w:val="0"/>
                    <w:snapToGrid w:val="0"/>
                    <w:jc w:val="center"/>
                    <w:rPr>
                      <w:rFonts w:hint="eastAsia" w:ascii="Times New Roman" w:hAnsi="宋体" w:eastAsia="宋体" w:cs="Times New Roman"/>
                      <w:kern w:val="0"/>
                      <w:szCs w:val="21"/>
                      <w:lang w:eastAsia="zh-CN"/>
                    </w:rPr>
                  </w:pPr>
                </w:p>
              </w:tc>
            </w:tr>
          </w:tbl>
          <w:p w14:paraId="058677B7">
            <w:pPr>
              <w:pStyle w:val="5"/>
              <w:numPr>
                <w:ilvl w:val="2"/>
                <w:numId w:val="0"/>
              </w:numPr>
              <w:tabs>
                <w:tab w:val="clear" w:pos="420"/>
              </w:tabs>
              <w:bidi w:val="0"/>
              <w:rPr>
                <w:rFonts w:hint="eastAsia"/>
                <w:color w:val="auto"/>
              </w:rPr>
            </w:pPr>
            <w:r>
              <w:rPr>
                <w:rFonts w:hint="eastAsia"/>
                <w:lang w:val="en-US" w:eastAsia="zh-CN"/>
              </w:rPr>
              <w:t>4</w:t>
            </w:r>
            <w:r>
              <w:rPr>
                <w:rFonts w:hint="eastAsia"/>
                <w:color w:val="auto"/>
                <w:lang w:val="en-US" w:eastAsia="zh-CN"/>
              </w:rPr>
              <w:t>、</w:t>
            </w:r>
            <w:r>
              <w:rPr>
                <w:rFonts w:hint="eastAsia"/>
                <w:color w:val="auto"/>
              </w:rPr>
              <w:t>固体废物</w:t>
            </w:r>
          </w:p>
          <w:p w14:paraId="73336F36">
            <w:pPr>
              <w:pStyle w:val="20"/>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hAnsi="宋体"/>
                <w:color w:val="auto"/>
                <w:sz w:val="24"/>
              </w:rPr>
            </w:pPr>
            <w:r>
              <w:rPr>
                <w:rFonts w:hint="eastAsia" w:hAnsi="宋体"/>
                <w:color w:val="auto"/>
                <w:sz w:val="24"/>
              </w:rPr>
              <w:t>本项目产生的固体废物主要是</w:t>
            </w:r>
            <w:r>
              <w:rPr>
                <w:rFonts w:hAnsi="宋体"/>
                <w:color w:val="auto"/>
                <w:sz w:val="24"/>
              </w:rPr>
              <w:t>生产过程中产生的</w:t>
            </w:r>
            <w:r>
              <w:rPr>
                <w:rFonts w:hint="eastAsia" w:hAnsi="宋体"/>
                <w:color w:val="auto"/>
                <w:sz w:val="24"/>
              </w:rPr>
              <w:t>废石和废渣等杂质、沼渣、污水处理站污泥、生活垃圾、废脱硫剂等废物。</w:t>
            </w:r>
          </w:p>
          <w:p w14:paraId="09CD6F1E">
            <w:pPr>
              <w:pStyle w:val="20"/>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经现场调查，</w:t>
            </w:r>
            <w:r>
              <w:rPr>
                <w:rFonts w:hint="eastAsia"/>
                <w:szCs w:val="21"/>
              </w:rPr>
              <w:t>废石和废渣等杂质、沼渣、污水处理站污泥经厂内分类收集后交由青川县垃圾填埋场处置统一清运并妥善处置；生活垃圾经分类收集后交由当地环卫人员清运并进行妥善处置；废脱硫剂经袋装收集后由厂家定期更换回收处理。</w:t>
            </w:r>
            <w:r>
              <w:rPr>
                <w:rFonts w:hint="eastAsia" w:ascii="Times New Roman" w:hAnsi="Times New Roman" w:eastAsia="宋体" w:cs="Times New Roman"/>
                <w:color w:val="auto"/>
                <w:sz w:val="24"/>
                <w:szCs w:val="24"/>
                <w:lang w:val="en-US" w:eastAsia="zh-CN"/>
              </w:rPr>
              <w:t>项目设备的维护保养由</w:t>
            </w:r>
            <w:r>
              <w:rPr>
                <w:rFonts w:hint="eastAsia" w:cs="Times New Roman"/>
                <w:lang w:eastAsia="zh-CN"/>
              </w:rPr>
              <w:t>青川县金扳手汽车维修有限公司</w:t>
            </w:r>
            <w:r>
              <w:rPr>
                <w:rFonts w:hint="eastAsia" w:ascii="Times New Roman" w:hAnsi="Times New Roman" w:eastAsia="宋体" w:cs="Times New Roman"/>
                <w:color w:val="auto"/>
                <w:sz w:val="24"/>
                <w:szCs w:val="24"/>
                <w:lang w:val="en-US" w:eastAsia="zh-CN"/>
              </w:rPr>
              <w:t>完成，机修过程中产生的少量废含油棉纱及手套由</w:t>
            </w:r>
            <w:r>
              <w:rPr>
                <w:rFonts w:hint="eastAsia" w:cs="Times New Roman"/>
                <w:lang w:eastAsia="zh-CN"/>
              </w:rPr>
              <w:t>青川县金扳手汽车维修有限公司</w:t>
            </w:r>
            <w:r>
              <w:rPr>
                <w:rFonts w:hint="eastAsia" w:ascii="Times New Roman" w:hAnsi="Times New Roman" w:eastAsia="宋体" w:cs="Times New Roman"/>
                <w:color w:val="auto"/>
                <w:sz w:val="24"/>
                <w:szCs w:val="24"/>
                <w:lang w:val="en-US" w:eastAsia="zh-CN"/>
              </w:rPr>
              <w:t>带走，现场不设危废暂存间。</w:t>
            </w:r>
          </w:p>
          <w:p w14:paraId="12FA79E7">
            <w:pPr>
              <w:pStyle w:val="5"/>
              <w:numPr>
                <w:ilvl w:val="2"/>
                <w:numId w:val="0"/>
              </w:numPr>
              <w:tabs>
                <w:tab w:val="clear" w:pos="420"/>
              </w:tabs>
              <w:bidi w:val="0"/>
              <w:rPr>
                <w:rFonts w:hint="eastAsia"/>
                <w:lang w:val="en-US" w:eastAsia="zh-CN"/>
              </w:rPr>
            </w:pPr>
            <w:r>
              <w:rPr>
                <w:rFonts w:hint="default" w:ascii="Times New Roman" w:hAnsi="Times New Roman" w:eastAsia="宋体" w:cs="Times New Roman"/>
                <w:b/>
                <w:bCs w:val="0"/>
                <w:color w:val="auto"/>
                <w:sz w:val="24"/>
                <w:szCs w:val="24"/>
              </w:rPr>
              <w:t>表</w:t>
            </w:r>
            <w:r>
              <w:rPr>
                <w:rFonts w:hint="eastAsia" w:ascii="Times New Roman" w:hAnsi="Times New Roman" w:eastAsia="宋体" w:cs="Times New Roman"/>
                <w:b/>
                <w:bCs w:val="0"/>
                <w:color w:val="auto"/>
                <w:sz w:val="24"/>
                <w:szCs w:val="24"/>
                <w:lang w:val="en-US" w:eastAsia="zh-CN"/>
              </w:rPr>
              <w:t>3</w:t>
            </w:r>
            <w:r>
              <w:rPr>
                <w:rFonts w:hint="default" w:ascii="Times New Roman" w:hAnsi="Times New Roman" w:eastAsia="宋体" w:cs="Times New Roman"/>
                <w:b/>
                <w:bCs w:val="0"/>
                <w:color w:val="auto"/>
                <w:sz w:val="24"/>
                <w:szCs w:val="24"/>
              </w:rPr>
              <w:t>-</w:t>
            </w:r>
            <w:r>
              <w:rPr>
                <w:rFonts w:hint="eastAsia" w:ascii="Times New Roman" w:hAnsi="Times New Roman" w:eastAsia="宋体" w:cs="Times New Roman"/>
                <w:b/>
                <w:bCs w:val="0"/>
                <w:color w:val="auto"/>
                <w:sz w:val="24"/>
                <w:szCs w:val="24"/>
                <w:lang w:val="en-US" w:eastAsia="zh-CN"/>
              </w:rPr>
              <w:t>4</w:t>
            </w:r>
            <w:r>
              <w:rPr>
                <w:rFonts w:hint="default" w:ascii="Times New Roman" w:hAnsi="Times New Roman" w:eastAsia="宋体" w:cs="Times New Roman"/>
                <w:b/>
                <w:bCs w:val="0"/>
                <w:color w:val="auto"/>
                <w:sz w:val="24"/>
                <w:szCs w:val="24"/>
                <w:lang w:val="en-US" w:eastAsia="zh-TW"/>
              </w:rPr>
              <w:t xml:space="preserve">  </w:t>
            </w:r>
            <w:r>
              <w:rPr>
                <w:rFonts w:hint="eastAsia" w:ascii="Times New Roman" w:hAnsi="Times New Roman" w:eastAsia="宋体" w:cs="Times New Roman"/>
                <w:b/>
                <w:bCs w:val="0"/>
                <w:color w:val="auto"/>
                <w:sz w:val="24"/>
                <w:szCs w:val="24"/>
                <w:lang w:eastAsia="zh-CN"/>
              </w:rPr>
              <w:t>固体废物</w:t>
            </w:r>
            <w:r>
              <w:rPr>
                <w:rFonts w:hint="default" w:ascii="Times New Roman" w:hAnsi="Times New Roman" w:eastAsia="宋体" w:cs="Times New Roman"/>
                <w:b/>
                <w:bCs w:val="0"/>
                <w:color w:val="auto"/>
                <w:sz w:val="24"/>
                <w:szCs w:val="24"/>
                <w:lang w:eastAsia="zh-TW"/>
              </w:rPr>
              <w:t>排放及治理措施表</w:t>
            </w:r>
          </w:p>
          <w:tbl>
            <w:tblPr>
              <w:tblStyle w:val="33"/>
              <w:tblW w:w="917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055"/>
              <w:gridCol w:w="2085"/>
              <w:gridCol w:w="1545"/>
              <w:gridCol w:w="2460"/>
            </w:tblGrid>
            <w:tr w14:paraId="757029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560" w:type="pct"/>
                  <w:shd w:val="clear" w:color="auto" w:fill="auto"/>
                  <w:vAlign w:val="center"/>
                </w:tcPr>
                <w:p w14:paraId="606FB7D1">
                  <w:pPr>
                    <w:adjustRightInd w:val="0"/>
                    <w:snapToGrid w:val="0"/>
                    <w:jc w:val="center"/>
                    <w:rPr>
                      <w:rFonts w:hint="eastAsia" w:eastAsia="宋体"/>
                      <w:bCs/>
                      <w:kern w:val="0"/>
                      <w:szCs w:val="21"/>
                      <w:lang w:eastAsia="zh-CN"/>
                    </w:rPr>
                  </w:pPr>
                  <w:r>
                    <w:rPr>
                      <w:rFonts w:hint="eastAsia"/>
                      <w:bCs/>
                      <w:kern w:val="0"/>
                      <w:szCs w:val="21"/>
                      <w:lang w:eastAsia="zh-CN"/>
                    </w:rPr>
                    <w:t>序号</w:t>
                  </w:r>
                </w:p>
              </w:tc>
              <w:tc>
                <w:tcPr>
                  <w:tcW w:w="1120" w:type="pct"/>
                  <w:shd w:val="clear" w:color="auto" w:fill="auto"/>
                  <w:vAlign w:val="center"/>
                </w:tcPr>
                <w:p w14:paraId="7FB32C67">
                  <w:pPr>
                    <w:adjustRightInd w:val="0"/>
                    <w:snapToGrid w:val="0"/>
                    <w:jc w:val="center"/>
                    <w:rPr>
                      <w:rFonts w:hint="eastAsia" w:eastAsia="宋体"/>
                      <w:bCs/>
                      <w:kern w:val="0"/>
                      <w:szCs w:val="21"/>
                      <w:lang w:eastAsia="zh-CN"/>
                    </w:rPr>
                  </w:pPr>
                  <w:r>
                    <w:rPr>
                      <w:rFonts w:hint="eastAsia" w:hAnsi="宋体"/>
                      <w:b/>
                      <w:kern w:val="0"/>
                      <w:szCs w:val="21"/>
                      <w:lang w:eastAsia="zh-CN"/>
                    </w:rPr>
                    <w:t>固体废物名称</w:t>
                  </w:r>
                </w:p>
              </w:tc>
              <w:tc>
                <w:tcPr>
                  <w:tcW w:w="1136" w:type="pct"/>
                  <w:vAlign w:val="center"/>
                </w:tcPr>
                <w:p w14:paraId="365745C5">
                  <w:pPr>
                    <w:adjustRightInd w:val="0"/>
                    <w:snapToGrid w:val="0"/>
                    <w:jc w:val="center"/>
                    <w:rPr>
                      <w:rFonts w:hint="eastAsia" w:eastAsia="宋体"/>
                      <w:bCs/>
                      <w:kern w:val="0"/>
                      <w:szCs w:val="21"/>
                      <w:lang w:eastAsia="zh-CN"/>
                    </w:rPr>
                  </w:pPr>
                  <w:r>
                    <w:rPr>
                      <w:rFonts w:hint="eastAsia" w:hAnsi="宋体"/>
                      <w:b/>
                      <w:kern w:val="0"/>
                      <w:szCs w:val="21"/>
                      <w:lang w:eastAsia="zh-CN"/>
                    </w:rPr>
                    <w:t>类别</w:t>
                  </w:r>
                </w:p>
              </w:tc>
              <w:tc>
                <w:tcPr>
                  <w:tcW w:w="842" w:type="pct"/>
                  <w:shd w:val="clear" w:color="auto" w:fill="auto"/>
                  <w:vAlign w:val="center"/>
                </w:tcPr>
                <w:p w14:paraId="7264041C">
                  <w:pPr>
                    <w:widowControl/>
                    <w:adjustRightInd w:val="0"/>
                    <w:snapToGrid w:val="0"/>
                    <w:jc w:val="center"/>
                    <w:rPr>
                      <w:rFonts w:hint="eastAsia"/>
                      <w:b/>
                      <w:szCs w:val="21"/>
                      <w:lang w:eastAsia="zh-CN"/>
                    </w:rPr>
                  </w:pPr>
                  <w:r>
                    <w:rPr>
                      <w:rFonts w:hint="eastAsia"/>
                      <w:b/>
                      <w:szCs w:val="21"/>
                      <w:lang w:eastAsia="zh-CN"/>
                    </w:rPr>
                    <w:t>产生环节</w:t>
                  </w:r>
                </w:p>
              </w:tc>
              <w:tc>
                <w:tcPr>
                  <w:tcW w:w="1340" w:type="pct"/>
                  <w:shd w:val="clear" w:color="auto" w:fill="auto"/>
                  <w:vAlign w:val="center"/>
                </w:tcPr>
                <w:p w14:paraId="4336D78A">
                  <w:pPr>
                    <w:widowControl/>
                    <w:adjustRightInd w:val="0"/>
                    <w:snapToGrid w:val="0"/>
                    <w:jc w:val="center"/>
                    <w:rPr>
                      <w:rFonts w:hint="eastAsia"/>
                      <w:b/>
                      <w:szCs w:val="21"/>
                      <w:lang w:eastAsia="zh-CN"/>
                    </w:rPr>
                  </w:pPr>
                  <w:r>
                    <w:rPr>
                      <w:rFonts w:hint="eastAsia"/>
                      <w:b/>
                      <w:szCs w:val="21"/>
                      <w:lang w:eastAsia="zh-CN"/>
                    </w:rPr>
                    <w:t>治理措施</w:t>
                  </w:r>
                </w:p>
              </w:tc>
            </w:tr>
            <w:tr w14:paraId="65C42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60" w:type="pct"/>
                  <w:shd w:val="clear" w:color="auto" w:fill="auto"/>
                  <w:vAlign w:val="center"/>
                </w:tcPr>
                <w:p w14:paraId="7054DCFB">
                  <w:pPr>
                    <w:widowControl/>
                    <w:adjustRightInd w:val="0"/>
                    <w:snapToGrid w:val="0"/>
                    <w:jc w:val="center"/>
                    <w:rPr>
                      <w:rFonts w:hint="eastAsia" w:eastAsia="宋体"/>
                      <w:kern w:val="0"/>
                      <w:szCs w:val="21"/>
                      <w:lang w:val="en-US" w:eastAsia="zh-CN"/>
                    </w:rPr>
                  </w:pPr>
                  <w:r>
                    <w:rPr>
                      <w:rFonts w:hint="eastAsia"/>
                      <w:kern w:val="0"/>
                      <w:szCs w:val="21"/>
                      <w:lang w:val="en-US" w:eastAsia="zh-CN"/>
                    </w:rPr>
                    <w:t>1</w:t>
                  </w:r>
                </w:p>
              </w:tc>
              <w:tc>
                <w:tcPr>
                  <w:tcW w:w="1120" w:type="pct"/>
                  <w:shd w:val="clear" w:color="auto" w:fill="auto"/>
                  <w:vAlign w:val="center"/>
                </w:tcPr>
                <w:p w14:paraId="258684C1">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废石和废渣等杂质</w:t>
                  </w:r>
                </w:p>
              </w:tc>
              <w:tc>
                <w:tcPr>
                  <w:tcW w:w="1136" w:type="pct"/>
                  <w:vAlign w:val="center"/>
                </w:tcPr>
                <w:p w14:paraId="6FE7A058">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一般工业固体废物</w:t>
                  </w:r>
                </w:p>
              </w:tc>
              <w:tc>
                <w:tcPr>
                  <w:tcW w:w="842" w:type="pct"/>
                  <w:shd w:val="clear" w:color="auto" w:fill="auto"/>
                  <w:vAlign w:val="center"/>
                </w:tcPr>
                <w:p w14:paraId="1818AC1D">
                  <w:pPr>
                    <w:pStyle w:val="87"/>
                    <w:snapToGrid w:val="0"/>
                    <w:spacing w:line="240" w:lineRule="auto"/>
                    <w:ind w:firstLine="0" w:firstLineChars="0"/>
                    <w:jc w:val="center"/>
                    <w:rPr>
                      <w:sz w:val="21"/>
                      <w:szCs w:val="21"/>
                    </w:rPr>
                  </w:pPr>
                  <w:r>
                    <w:rPr>
                      <w:rFonts w:cs="Times New Roman"/>
                      <w:bCs/>
                      <w:color w:val="auto"/>
                      <w:sz w:val="21"/>
                      <w:szCs w:val="21"/>
                    </w:rPr>
                    <w:t>撕碎机</w:t>
                  </w:r>
                </w:p>
              </w:tc>
              <w:tc>
                <w:tcPr>
                  <w:tcW w:w="1340" w:type="pct"/>
                  <w:vMerge w:val="restart"/>
                  <w:shd w:val="clear" w:color="auto" w:fill="auto"/>
                  <w:vAlign w:val="center"/>
                </w:tcPr>
                <w:p w14:paraId="40E0978D">
                  <w:pPr>
                    <w:pStyle w:val="2"/>
                    <w:adjustRightInd w:val="0"/>
                    <w:spacing w:before="0" w:after="0" w:line="240" w:lineRule="auto"/>
                    <w:ind w:right="0"/>
                    <w:jc w:val="center"/>
                    <w:rPr>
                      <w:sz w:val="21"/>
                      <w:szCs w:val="21"/>
                    </w:rPr>
                  </w:pPr>
                  <w:r>
                    <w:rPr>
                      <w:rFonts w:cs="Times New Roman"/>
                      <w:bCs/>
                      <w:color w:val="auto"/>
                      <w:sz w:val="21"/>
                      <w:szCs w:val="21"/>
                    </w:rPr>
                    <w:t>交由青川县垃圾填埋场处置</w:t>
                  </w:r>
                </w:p>
              </w:tc>
            </w:tr>
            <w:tr w14:paraId="3A05D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60" w:type="pct"/>
                  <w:shd w:val="clear" w:color="auto" w:fill="auto"/>
                  <w:vAlign w:val="center"/>
                </w:tcPr>
                <w:p w14:paraId="728AB975">
                  <w:pPr>
                    <w:widowControl/>
                    <w:adjustRightInd w:val="0"/>
                    <w:snapToGrid w:val="0"/>
                    <w:jc w:val="center"/>
                    <w:rPr>
                      <w:rFonts w:hint="default"/>
                      <w:kern w:val="0"/>
                      <w:szCs w:val="21"/>
                      <w:lang w:val="en-US" w:eastAsia="zh-CN"/>
                    </w:rPr>
                  </w:pPr>
                  <w:r>
                    <w:rPr>
                      <w:rFonts w:hint="eastAsia"/>
                      <w:kern w:val="0"/>
                      <w:szCs w:val="21"/>
                      <w:lang w:val="en-US" w:eastAsia="zh-CN"/>
                    </w:rPr>
                    <w:t>2</w:t>
                  </w:r>
                </w:p>
              </w:tc>
              <w:tc>
                <w:tcPr>
                  <w:tcW w:w="1120" w:type="pct"/>
                  <w:shd w:val="clear" w:color="auto" w:fill="auto"/>
                  <w:vAlign w:val="center"/>
                </w:tcPr>
                <w:p w14:paraId="15FA91AC">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沼渣</w:t>
                  </w:r>
                </w:p>
              </w:tc>
              <w:tc>
                <w:tcPr>
                  <w:tcW w:w="1136" w:type="pct"/>
                  <w:vAlign w:val="center"/>
                </w:tcPr>
                <w:p w14:paraId="71D184BC">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一般工业固体废物</w:t>
                  </w:r>
                </w:p>
              </w:tc>
              <w:tc>
                <w:tcPr>
                  <w:tcW w:w="842" w:type="pct"/>
                  <w:shd w:val="clear" w:color="auto" w:fill="auto"/>
                  <w:vAlign w:val="center"/>
                </w:tcPr>
                <w:p w14:paraId="165426C1">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厌氧发酵设备</w:t>
                  </w:r>
                </w:p>
              </w:tc>
              <w:tc>
                <w:tcPr>
                  <w:tcW w:w="1340" w:type="pct"/>
                  <w:vMerge w:val="continue"/>
                  <w:shd w:val="clear" w:color="auto" w:fill="auto"/>
                  <w:vAlign w:val="center"/>
                </w:tcPr>
                <w:p w14:paraId="713B9F98">
                  <w:pPr>
                    <w:widowControl/>
                    <w:adjustRightInd w:val="0"/>
                    <w:snapToGrid w:val="0"/>
                    <w:jc w:val="center"/>
                    <w:rPr>
                      <w:rFonts w:hint="eastAsia" w:ascii="Times New Roman" w:hAnsi="宋体" w:eastAsia="宋体" w:cs="Times New Roman"/>
                      <w:kern w:val="0"/>
                      <w:szCs w:val="21"/>
                      <w:lang w:eastAsia="zh-CN"/>
                    </w:rPr>
                  </w:pPr>
                </w:p>
              </w:tc>
            </w:tr>
            <w:tr w14:paraId="27144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60" w:type="pct"/>
                  <w:shd w:val="clear" w:color="auto" w:fill="auto"/>
                  <w:vAlign w:val="center"/>
                </w:tcPr>
                <w:p w14:paraId="518CAE5A">
                  <w:pPr>
                    <w:widowControl/>
                    <w:adjustRightInd w:val="0"/>
                    <w:snapToGrid w:val="0"/>
                    <w:jc w:val="center"/>
                    <w:rPr>
                      <w:rFonts w:hint="default"/>
                      <w:kern w:val="0"/>
                      <w:szCs w:val="21"/>
                      <w:lang w:val="en-US" w:eastAsia="zh-CN"/>
                    </w:rPr>
                  </w:pPr>
                  <w:r>
                    <w:rPr>
                      <w:rFonts w:hint="eastAsia"/>
                      <w:kern w:val="0"/>
                      <w:szCs w:val="21"/>
                      <w:lang w:val="en-US" w:eastAsia="zh-CN"/>
                    </w:rPr>
                    <w:t>3</w:t>
                  </w:r>
                </w:p>
              </w:tc>
              <w:tc>
                <w:tcPr>
                  <w:tcW w:w="1120" w:type="pct"/>
                  <w:shd w:val="clear" w:color="auto" w:fill="auto"/>
                  <w:vAlign w:val="center"/>
                </w:tcPr>
                <w:p w14:paraId="43C15592">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污水处理站污泥</w:t>
                  </w:r>
                </w:p>
              </w:tc>
              <w:tc>
                <w:tcPr>
                  <w:tcW w:w="1136" w:type="pct"/>
                  <w:vAlign w:val="center"/>
                </w:tcPr>
                <w:p w14:paraId="092385DD">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一般工业固体废物</w:t>
                  </w:r>
                </w:p>
              </w:tc>
              <w:tc>
                <w:tcPr>
                  <w:tcW w:w="842" w:type="pct"/>
                  <w:shd w:val="clear" w:color="auto" w:fill="auto"/>
                  <w:vAlign w:val="center"/>
                </w:tcPr>
                <w:p w14:paraId="2B388C42">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污水处理站</w:t>
                  </w:r>
                </w:p>
              </w:tc>
              <w:tc>
                <w:tcPr>
                  <w:tcW w:w="1340" w:type="pct"/>
                  <w:vMerge w:val="continue"/>
                  <w:shd w:val="clear" w:color="auto" w:fill="auto"/>
                  <w:vAlign w:val="center"/>
                </w:tcPr>
                <w:p w14:paraId="165C3DE1">
                  <w:pPr>
                    <w:widowControl/>
                    <w:adjustRightInd w:val="0"/>
                    <w:snapToGrid w:val="0"/>
                    <w:jc w:val="center"/>
                    <w:rPr>
                      <w:rFonts w:hint="eastAsia" w:ascii="Times New Roman" w:hAnsi="宋体" w:eastAsia="宋体" w:cs="Times New Roman"/>
                      <w:kern w:val="0"/>
                      <w:szCs w:val="21"/>
                      <w:lang w:eastAsia="zh-CN"/>
                    </w:rPr>
                  </w:pPr>
                </w:p>
              </w:tc>
            </w:tr>
            <w:tr w14:paraId="450954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60" w:type="pct"/>
                  <w:shd w:val="clear" w:color="auto" w:fill="auto"/>
                  <w:vAlign w:val="center"/>
                </w:tcPr>
                <w:p w14:paraId="515F10B6">
                  <w:pPr>
                    <w:widowControl/>
                    <w:adjustRightInd w:val="0"/>
                    <w:snapToGrid w:val="0"/>
                    <w:jc w:val="center"/>
                    <w:rPr>
                      <w:rFonts w:hint="default"/>
                      <w:kern w:val="0"/>
                      <w:szCs w:val="21"/>
                      <w:lang w:val="en-US" w:eastAsia="zh-CN"/>
                    </w:rPr>
                  </w:pPr>
                  <w:r>
                    <w:rPr>
                      <w:rFonts w:hint="eastAsia"/>
                      <w:kern w:val="0"/>
                      <w:szCs w:val="21"/>
                      <w:lang w:val="en-US" w:eastAsia="zh-CN"/>
                    </w:rPr>
                    <w:t>4</w:t>
                  </w:r>
                </w:p>
              </w:tc>
              <w:tc>
                <w:tcPr>
                  <w:tcW w:w="1120" w:type="pct"/>
                  <w:shd w:val="clear" w:color="auto" w:fill="auto"/>
                  <w:vAlign w:val="center"/>
                </w:tcPr>
                <w:p w14:paraId="4165AE95">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生活垃圾</w:t>
                  </w:r>
                </w:p>
              </w:tc>
              <w:tc>
                <w:tcPr>
                  <w:tcW w:w="1136" w:type="pct"/>
                  <w:vAlign w:val="center"/>
                </w:tcPr>
                <w:p w14:paraId="157CEAAA">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一般工业固体废物</w:t>
                  </w:r>
                </w:p>
              </w:tc>
              <w:tc>
                <w:tcPr>
                  <w:tcW w:w="842" w:type="pct"/>
                  <w:shd w:val="clear" w:color="auto" w:fill="auto"/>
                  <w:vAlign w:val="center"/>
                </w:tcPr>
                <w:p w14:paraId="50B202C4">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办公生活楼</w:t>
                  </w:r>
                </w:p>
              </w:tc>
              <w:tc>
                <w:tcPr>
                  <w:tcW w:w="1340" w:type="pct"/>
                  <w:shd w:val="clear" w:color="auto" w:fill="auto"/>
                  <w:vAlign w:val="center"/>
                </w:tcPr>
                <w:p w14:paraId="12682C7A">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由当地环卫人员清运处置</w:t>
                  </w:r>
                </w:p>
              </w:tc>
            </w:tr>
            <w:tr w14:paraId="3C3542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60" w:type="pct"/>
                  <w:shd w:val="clear" w:color="auto" w:fill="auto"/>
                  <w:vAlign w:val="center"/>
                </w:tcPr>
                <w:p w14:paraId="1D1E5CFA">
                  <w:pPr>
                    <w:widowControl/>
                    <w:adjustRightInd w:val="0"/>
                    <w:snapToGrid w:val="0"/>
                    <w:jc w:val="center"/>
                    <w:rPr>
                      <w:rFonts w:hint="default"/>
                      <w:kern w:val="0"/>
                      <w:szCs w:val="21"/>
                      <w:lang w:val="en-US" w:eastAsia="zh-CN"/>
                    </w:rPr>
                  </w:pPr>
                  <w:r>
                    <w:rPr>
                      <w:rFonts w:hint="eastAsia"/>
                      <w:kern w:val="0"/>
                      <w:szCs w:val="21"/>
                      <w:lang w:val="en-US" w:eastAsia="zh-CN"/>
                    </w:rPr>
                    <w:t>5</w:t>
                  </w:r>
                </w:p>
              </w:tc>
              <w:tc>
                <w:tcPr>
                  <w:tcW w:w="1120" w:type="pct"/>
                  <w:shd w:val="clear" w:color="auto" w:fill="auto"/>
                  <w:vAlign w:val="center"/>
                </w:tcPr>
                <w:p w14:paraId="7E272EBB">
                  <w:pPr>
                    <w:pStyle w:val="87"/>
                    <w:snapToGrid w:val="0"/>
                    <w:spacing w:line="240" w:lineRule="auto"/>
                    <w:ind w:firstLine="0" w:firstLineChars="0"/>
                    <w:jc w:val="center"/>
                    <w:rPr>
                      <w:sz w:val="21"/>
                      <w:szCs w:val="21"/>
                    </w:rPr>
                  </w:pPr>
                  <w:r>
                    <w:rPr>
                      <w:rFonts w:cs="Times New Roman"/>
                      <w:bCs/>
                      <w:color w:val="auto"/>
                      <w:sz w:val="21"/>
                      <w:szCs w:val="21"/>
                    </w:rPr>
                    <w:t>废脱硫剂</w:t>
                  </w:r>
                </w:p>
              </w:tc>
              <w:tc>
                <w:tcPr>
                  <w:tcW w:w="1136" w:type="pct"/>
                  <w:vAlign w:val="center"/>
                </w:tcPr>
                <w:p w14:paraId="325ECCAE">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一般工业固体废物</w:t>
                  </w:r>
                </w:p>
              </w:tc>
              <w:tc>
                <w:tcPr>
                  <w:tcW w:w="842" w:type="pct"/>
                  <w:shd w:val="clear" w:color="auto" w:fill="auto"/>
                  <w:vAlign w:val="center"/>
                </w:tcPr>
                <w:p w14:paraId="63F2E140">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沼气净化设备</w:t>
                  </w:r>
                </w:p>
              </w:tc>
              <w:tc>
                <w:tcPr>
                  <w:tcW w:w="1340" w:type="pct"/>
                  <w:shd w:val="clear" w:color="auto" w:fill="auto"/>
                  <w:vAlign w:val="center"/>
                </w:tcPr>
                <w:p w14:paraId="57256225">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由厂家定期更换回收处理</w:t>
                  </w:r>
                </w:p>
              </w:tc>
            </w:tr>
            <w:tr w14:paraId="4E0A70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60" w:type="pct"/>
                  <w:shd w:val="clear" w:color="auto" w:fill="auto"/>
                  <w:vAlign w:val="center"/>
                </w:tcPr>
                <w:p w14:paraId="2202B020">
                  <w:pPr>
                    <w:widowControl/>
                    <w:adjustRightInd w:val="0"/>
                    <w:snapToGrid w:val="0"/>
                    <w:jc w:val="center"/>
                    <w:rPr>
                      <w:rFonts w:hint="default"/>
                      <w:kern w:val="0"/>
                      <w:szCs w:val="21"/>
                      <w:lang w:val="en-US" w:eastAsia="zh-CN"/>
                    </w:rPr>
                  </w:pPr>
                  <w:r>
                    <w:rPr>
                      <w:rFonts w:hint="eastAsia"/>
                      <w:kern w:val="0"/>
                      <w:szCs w:val="21"/>
                      <w:lang w:val="en-US" w:eastAsia="zh-CN"/>
                    </w:rPr>
                    <w:t>6</w:t>
                  </w:r>
                </w:p>
              </w:tc>
              <w:tc>
                <w:tcPr>
                  <w:tcW w:w="1120" w:type="pct"/>
                  <w:shd w:val="clear" w:color="auto" w:fill="auto"/>
                  <w:vAlign w:val="center"/>
                </w:tcPr>
                <w:p w14:paraId="0C79C636">
                  <w:pPr>
                    <w:pStyle w:val="87"/>
                    <w:snapToGrid w:val="0"/>
                    <w:spacing w:line="240" w:lineRule="auto"/>
                    <w:ind w:firstLine="0" w:firstLineChars="0"/>
                    <w:jc w:val="center"/>
                    <w:rPr>
                      <w:sz w:val="21"/>
                      <w:szCs w:val="21"/>
                    </w:rPr>
                  </w:pPr>
                  <w:r>
                    <w:rPr>
                      <w:rFonts w:cs="Times New Roman"/>
                      <w:bCs/>
                      <w:color w:val="auto"/>
                      <w:sz w:val="21"/>
                      <w:szCs w:val="21"/>
                    </w:rPr>
                    <w:t>废机油</w:t>
                  </w:r>
                </w:p>
              </w:tc>
              <w:tc>
                <w:tcPr>
                  <w:tcW w:w="1136" w:type="pct"/>
                  <w:vAlign w:val="center"/>
                </w:tcPr>
                <w:p w14:paraId="5468F034">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危险废物</w:t>
                  </w:r>
                </w:p>
              </w:tc>
              <w:tc>
                <w:tcPr>
                  <w:tcW w:w="842" w:type="pct"/>
                  <w:shd w:val="clear" w:color="auto" w:fill="auto"/>
                  <w:vAlign w:val="center"/>
                </w:tcPr>
                <w:p w14:paraId="47020F33">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设备维护</w:t>
                  </w:r>
                </w:p>
              </w:tc>
              <w:tc>
                <w:tcPr>
                  <w:tcW w:w="1340" w:type="pct"/>
                  <w:vMerge w:val="restart"/>
                  <w:shd w:val="clear" w:color="auto" w:fill="auto"/>
                  <w:vAlign w:val="center"/>
                </w:tcPr>
                <w:p w14:paraId="2DDFC618">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hint="eastAsia" w:ascii="Times New Roman" w:hAnsi="Times New Roman" w:eastAsia="宋体" w:cs="Times New Roman"/>
                      <w:bCs/>
                      <w:color w:val="auto"/>
                      <w:sz w:val="21"/>
                      <w:szCs w:val="21"/>
                      <w:lang w:val="en-US" w:eastAsia="zh-CN"/>
                    </w:rPr>
                    <w:t>项目设备的维护保养由</w:t>
                  </w:r>
                  <w:r>
                    <w:rPr>
                      <w:rFonts w:hint="eastAsia" w:ascii="Times New Roman" w:hAnsi="Times New Roman" w:eastAsia="宋体" w:cs="Times New Roman"/>
                      <w:bCs/>
                      <w:color w:val="auto"/>
                      <w:sz w:val="21"/>
                      <w:szCs w:val="21"/>
                      <w:lang w:eastAsia="zh-CN"/>
                    </w:rPr>
                    <w:t>青川县金扳手汽车维修有限公司</w:t>
                  </w:r>
                  <w:r>
                    <w:rPr>
                      <w:rFonts w:hint="eastAsia" w:ascii="Times New Roman" w:hAnsi="Times New Roman" w:eastAsia="宋体" w:cs="Times New Roman"/>
                      <w:bCs/>
                      <w:color w:val="auto"/>
                      <w:sz w:val="21"/>
                      <w:szCs w:val="21"/>
                      <w:lang w:val="en-US" w:eastAsia="zh-CN"/>
                    </w:rPr>
                    <w:t>完成，机修过程中产生的少量</w:t>
                  </w:r>
                  <w:r>
                    <w:rPr>
                      <w:rFonts w:hint="eastAsia" w:cs="Times New Roman"/>
                      <w:bCs/>
                      <w:color w:val="auto"/>
                      <w:sz w:val="21"/>
                      <w:szCs w:val="21"/>
                      <w:lang w:val="en-US" w:eastAsia="zh-CN"/>
                    </w:rPr>
                    <w:t>废机油</w:t>
                  </w:r>
                  <w:r>
                    <w:rPr>
                      <w:rFonts w:hint="eastAsia" w:ascii="Times New Roman" w:hAnsi="Times New Roman" w:eastAsia="宋体" w:cs="Times New Roman"/>
                      <w:bCs/>
                      <w:color w:val="auto"/>
                      <w:sz w:val="21"/>
                      <w:szCs w:val="21"/>
                      <w:lang w:val="en-US" w:eastAsia="zh-CN"/>
                    </w:rPr>
                    <w:t>由</w:t>
                  </w:r>
                  <w:r>
                    <w:rPr>
                      <w:rFonts w:hint="eastAsia" w:ascii="Times New Roman" w:hAnsi="Times New Roman" w:eastAsia="宋体" w:cs="Times New Roman"/>
                      <w:bCs/>
                      <w:color w:val="auto"/>
                      <w:sz w:val="21"/>
                      <w:szCs w:val="21"/>
                      <w:lang w:eastAsia="zh-CN"/>
                    </w:rPr>
                    <w:t>青川县金扳手汽车维修有限公司</w:t>
                  </w:r>
                  <w:r>
                    <w:rPr>
                      <w:rFonts w:hint="eastAsia" w:ascii="Times New Roman" w:hAnsi="Times New Roman" w:eastAsia="宋体" w:cs="Times New Roman"/>
                      <w:bCs/>
                      <w:color w:val="auto"/>
                      <w:sz w:val="21"/>
                      <w:szCs w:val="21"/>
                      <w:lang w:val="en-US" w:eastAsia="zh-CN"/>
                    </w:rPr>
                    <w:t>带走，现场不设危废暂存间</w:t>
                  </w:r>
                </w:p>
              </w:tc>
            </w:tr>
            <w:tr w14:paraId="2C84A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60" w:type="pct"/>
                  <w:shd w:val="clear" w:color="auto" w:fill="auto"/>
                  <w:vAlign w:val="center"/>
                </w:tcPr>
                <w:p w14:paraId="2080FD40">
                  <w:pPr>
                    <w:widowControl/>
                    <w:adjustRightInd w:val="0"/>
                    <w:snapToGrid w:val="0"/>
                    <w:jc w:val="center"/>
                    <w:rPr>
                      <w:rFonts w:hint="default"/>
                      <w:kern w:val="0"/>
                      <w:szCs w:val="21"/>
                      <w:lang w:val="en-US" w:eastAsia="zh-CN"/>
                    </w:rPr>
                  </w:pPr>
                  <w:r>
                    <w:rPr>
                      <w:rFonts w:hint="eastAsia"/>
                      <w:kern w:val="0"/>
                      <w:szCs w:val="21"/>
                      <w:lang w:val="en-US" w:eastAsia="zh-CN"/>
                    </w:rPr>
                    <w:t>7</w:t>
                  </w:r>
                </w:p>
              </w:tc>
              <w:tc>
                <w:tcPr>
                  <w:tcW w:w="1120" w:type="pct"/>
                  <w:shd w:val="clear" w:color="auto" w:fill="auto"/>
                  <w:vAlign w:val="center"/>
                </w:tcPr>
                <w:p w14:paraId="7C380003">
                  <w:pPr>
                    <w:pStyle w:val="87"/>
                    <w:snapToGrid w:val="0"/>
                    <w:spacing w:line="240" w:lineRule="auto"/>
                    <w:ind w:firstLine="0" w:firstLineChars="0"/>
                    <w:jc w:val="center"/>
                    <w:rPr>
                      <w:sz w:val="21"/>
                      <w:szCs w:val="21"/>
                    </w:rPr>
                  </w:pPr>
                  <w:r>
                    <w:rPr>
                      <w:rFonts w:cs="Times New Roman"/>
                      <w:bCs/>
                      <w:color w:val="auto"/>
                      <w:sz w:val="21"/>
                      <w:szCs w:val="21"/>
                    </w:rPr>
                    <w:t>废油桶</w:t>
                  </w:r>
                </w:p>
              </w:tc>
              <w:tc>
                <w:tcPr>
                  <w:tcW w:w="1136" w:type="pct"/>
                  <w:vAlign w:val="center"/>
                </w:tcPr>
                <w:p w14:paraId="60458390">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危险废物</w:t>
                  </w:r>
                </w:p>
              </w:tc>
              <w:tc>
                <w:tcPr>
                  <w:tcW w:w="842" w:type="pct"/>
                  <w:shd w:val="clear" w:color="auto" w:fill="auto"/>
                  <w:vAlign w:val="center"/>
                </w:tcPr>
                <w:p w14:paraId="3C77EB79">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设备维护</w:t>
                  </w:r>
                </w:p>
              </w:tc>
              <w:tc>
                <w:tcPr>
                  <w:tcW w:w="1340" w:type="pct"/>
                  <w:vMerge w:val="continue"/>
                  <w:shd w:val="clear" w:color="auto" w:fill="auto"/>
                  <w:vAlign w:val="center"/>
                </w:tcPr>
                <w:p w14:paraId="15DA79CB">
                  <w:pPr>
                    <w:widowControl/>
                    <w:adjustRightInd w:val="0"/>
                    <w:snapToGrid w:val="0"/>
                    <w:jc w:val="center"/>
                    <w:rPr>
                      <w:rFonts w:hint="eastAsia" w:ascii="Times New Roman" w:hAnsi="宋体" w:eastAsia="宋体" w:cs="Times New Roman"/>
                      <w:kern w:val="0"/>
                      <w:szCs w:val="21"/>
                      <w:lang w:eastAsia="zh-CN"/>
                    </w:rPr>
                  </w:pPr>
                </w:p>
              </w:tc>
            </w:tr>
            <w:tr w14:paraId="114243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60" w:type="pct"/>
                  <w:shd w:val="clear" w:color="auto" w:fill="auto"/>
                  <w:vAlign w:val="center"/>
                </w:tcPr>
                <w:p w14:paraId="31DE4C06">
                  <w:pPr>
                    <w:widowControl/>
                    <w:adjustRightInd w:val="0"/>
                    <w:snapToGrid w:val="0"/>
                    <w:jc w:val="center"/>
                    <w:rPr>
                      <w:rFonts w:hint="default"/>
                      <w:kern w:val="0"/>
                      <w:szCs w:val="21"/>
                      <w:lang w:val="en-US" w:eastAsia="zh-CN"/>
                    </w:rPr>
                  </w:pPr>
                  <w:r>
                    <w:rPr>
                      <w:rFonts w:hint="eastAsia"/>
                      <w:kern w:val="0"/>
                      <w:szCs w:val="21"/>
                      <w:lang w:val="en-US" w:eastAsia="zh-CN"/>
                    </w:rPr>
                    <w:t>8</w:t>
                  </w:r>
                </w:p>
              </w:tc>
              <w:tc>
                <w:tcPr>
                  <w:tcW w:w="1120" w:type="pct"/>
                  <w:shd w:val="clear" w:color="auto" w:fill="auto"/>
                  <w:vAlign w:val="center"/>
                </w:tcPr>
                <w:p w14:paraId="4F0D25F8">
                  <w:pPr>
                    <w:pStyle w:val="87"/>
                    <w:snapToGrid w:val="0"/>
                    <w:spacing w:line="240" w:lineRule="auto"/>
                    <w:ind w:firstLine="0" w:firstLineChars="0"/>
                    <w:jc w:val="center"/>
                    <w:rPr>
                      <w:sz w:val="21"/>
                      <w:szCs w:val="21"/>
                    </w:rPr>
                  </w:pPr>
                  <w:r>
                    <w:rPr>
                      <w:rFonts w:cs="Times New Roman"/>
                      <w:bCs/>
                      <w:color w:val="auto"/>
                      <w:sz w:val="21"/>
                      <w:szCs w:val="21"/>
                    </w:rPr>
                    <w:t>废含油抹布</w:t>
                  </w:r>
                </w:p>
              </w:tc>
              <w:tc>
                <w:tcPr>
                  <w:tcW w:w="1136" w:type="pct"/>
                  <w:vAlign w:val="center"/>
                </w:tcPr>
                <w:p w14:paraId="50AE58B9">
                  <w:pPr>
                    <w:widowControl/>
                    <w:adjustRightInd w:val="0"/>
                    <w:snapToGrid w:val="0"/>
                    <w:jc w:val="center"/>
                    <w:rPr>
                      <w:rFonts w:hint="eastAsia" w:ascii="Times New Roman" w:hAnsi="宋体" w:eastAsia="宋体" w:cs="Times New Roman"/>
                      <w:kern w:val="0"/>
                      <w:szCs w:val="21"/>
                      <w:lang w:eastAsia="zh-CN"/>
                    </w:rPr>
                  </w:pPr>
                  <w:r>
                    <w:rPr>
                      <w:rFonts w:cs="Times New Roman"/>
                      <w:bCs/>
                      <w:color w:val="auto"/>
                      <w:sz w:val="21"/>
                      <w:szCs w:val="21"/>
                    </w:rPr>
                    <w:t>危险废物</w:t>
                  </w:r>
                </w:p>
              </w:tc>
              <w:tc>
                <w:tcPr>
                  <w:tcW w:w="842" w:type="pct"/>
                  <w:shd w:val="clear" w:color="auto" w:fill="auto"/>
                  <w:vAlign w:val="center"/>
                </w:tcPr>
                <w:p w14:paraId="32894193">
                  <w:pPr>
                    <w:pStyle w:val="87"/>
                    <w:snapToGrid w:val="0"/>
                    <w:spacing w:line="240" w:lineRule="auto"/>
                    <w:ind w:firstLine="0" w:firstLineChars="0"/>
                    <w:jc w:val="center"/>
                    <w:rPr>
                      <w:rFonts w:hint="eastAsia" w:ascii="Times New Roman" w:hAnsi="宋体" w:eastAsia="宋体" w:cs="Times New Roman"/>
                      <w:kern w:val="0"/>
                      <w:szCs w:val="21"/>
                      <w:lang w:eastAsia="zh-CN"/>
                    </w:rPr>
                  </w:pPr>
                  <w:r>
                    <w:rPr>
                      <w:rFonts w:cs="Times New Roman"/>
                      <w:bCs/>
                      <w:color w:val="auto"/>
                      <w:sz w:val="21"/>
                      <w:szCs w:val="21"/>
                    </w:rPr>
                    <w:t>设备维护</w:t>
                  </w:r>
                </w:p>
              </w:tc>
              <w:tc>
                <w:tcPr>
                  <w:tcW w:w="1340" w:type="pct"/>
                  <w:vMerge w:val="continue"/>
                  <w:shd w:val="clear" w:color="auto" w:fill="auto"/>
                  <w:vAlign w:val="center"/>
                </w:tcPr>
                <w:p w14:paraId="1D8268C1">
                  <w:pPr>
                    <w:widowControl/>
                    <w:adjustRightInd w:val="0"/>
                    <w:snapToGrid w:val="0"/>
                    <w:jc w:val="center"/>
                    <w:rPr>
                      <w:rFonts w:hint="eastAsia" w:ascii="Times New Roman" w:hAnsi="宋体" w:eastAsia="宋体" w:cs="Times New Roman"/>
                      <w:kern w:val="0"/>
                      <w:szCs w:val="21"/>
                      <w:lang w:eastAsia="zh-CN"/>
                    </w:rPr>
                  </w:pPr>
                </w:p>
              </w:tc>
            </w:tr>
          </w:tbl>
          <w:p w14:paraId="35E2DDBC">
            <w:pPr>
              <w:pStyle w:val="20"/>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lang w:val="en-US" w:eastAsia="zh-CN"/>
              </w:rPr>
            </w:pPr>
          </w:p>
          <w:bookmarkEnd w:id="15"/>
          <w:p w14:paraId="57D3C7D0">
            <w:pPr>
              <w:pStyle w:val="5"/>
              <w:numPr>
                <w:ilvl w:val="2"/>
                <w:numId w:val="0"/>
              </w:numPr>
              <w:tabs>
                <w:tab w:val="clear" w:pos="420"/>
              </w:tabs>
              <w:bidi w:val="0"/>
              <w:rPr>
                <w:rFonts w:hint="default"/>
                <w:color w:val="auto"/>
                <w:lang w:val="en-US" w:eastAsia="zh-CN"/>
              </w:rPr>
            </w:pPr>
            <w:r>
              <w:rPr>
                <w:rFonts w:hint="eastAsia"/>
                <w:lang w:val="en-US" w:eastAsia="zh-CN"/>
              </w:rPr>
              <w:t>5</w:t>
            </w:r>
            <w:r>
              <w:rPr>
                <w:rFonts w:hint="eastAsia"/>
                <w:color w:val="auto"/>
                <w:lang w:val="en-US" w:eastAsia="zh-CN"/>
              </w:rPr>
              <w:t>、环保投资情况</w:t>
            </w:r>
          </w:p>
          <w:p w14:paraId="713632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bCs/>
                <w:color w:val="auto"/>
                <w:sz w:val="21"/>
                <w:szCs w:val="21"/>
                <w:lang w:val="en-US" w:eastAsia="zh-CN"/>
              </w:rPr>
            </w:pPr>
            <w:r>
              <w:rPr>
                <w:rFonts w:hint="eastAsia" w:ascii="Times New Roman" w:hAnsi="Times New Roman" w:cs="Times New Roman"/>
                <w:color w:val="auto"/>
                <w:kern w:val="0"/>
                <w:sz w:val="24"/>
                <w:szCs w:val="24"/>
                <w:lang w:val="en-US" w:eastAsia="zh-CN" w:bidi="ar-SA"/>
              </w:rPr>
              <w:t>本项目环评阶段估算</w:t>
            </w:r>
            <w:r>
              <w:rPr>
                <w:rFonts w:hint="default" w:ascii="Times New Roman" w:hAnsi="Times New Roman" w:cs="Times New Roman"/>
                <w:color w:val="auto"/>
                <w:kern w:val="0"/>
                <w:sz w:val="24"/>
                <w:szCs w:val="24"/>
                <w:lang w:val="en-US" w:eastAsia="zh-CN" w:bidi="ar-SA"/>
              </w:rPr>
              <w:t>总投资</w:t>
            </w:r>
            <w:r>
              <w:rPr>
                <w:rFonts w:hint="eastAsia" w:cs="Times New Roman"/>
                <w:color w:val="auto"/>
                <w:kern w:val="0"/>
                <w:sz w:val="24"/>
                <w:szCs w:val="24"/>
                <w:lang w:val="en-US" w:eastAsia="zh-CN" w:bidi="ar-SA"/>
              </w:rPr>
              <w:t>15</w:t>
            </w:r>
            <w:r>
              <w:rPr>
                <w:rFonts w:hint="eastAsia" w:ascii="Times New Roman" w:hAnsi="Times New Roman" w:cs="Times New Roman"/>
                <w:color w:val="auto"/>
                <w:kern w:val="0"/>
                <w:sz w:val="24"/>
                <w:szCs w:val="24"/>
                <w:lang w:val="en-US" w:eastAsia="zh-CN" w:bidi="ar-SA"/>
              </w:rPr>
              <w:t>00万</w:t>
            </w:r>
            <w:r>
              <w:rPr>
                <w:rFonts w:hint="default" w:ascii="Times New Roman" w:hAnsi="Times New Roman" w:cs="Times New Roman"/>
                <w:color w:val="auto"/>
                <w:kern w:val="0"/>
                <w:sz w:val="24"/>
                <w:szCs w:val="24"/>
                <w:lang w:val="en-US" w:eastAsia="zh-CN" w:bidi="ar-SA"/>
              </w:rPr>
              <w:t>元，环保投资</w:t>
            </w:r>
            <w:r>
              <w:rPr>
                <w:rFonts w:hint="eastAsia" w:cs="Times New Roman"/>
                <w:color w:val="auto"/>
                <w:kern w:val="0"/>
                <w:sz w:val="24"/>
                <w:szCs w:val="24"/>
                <w:lang w:val="en-US" w:eastAsia="zh-CN" w:bidi="ar-SA"/>
              </w:rPr>
              <w:t>678</w:t>
            </w:r>
            <w:r>
              <w:rPr>
                <w:rFonts w:hint="eastAsia" w:ascii="Times New Roman" w:hAnsi="Times New Roman" w:cs="Times New Roman"/>
                <w:color w:val="auto"/>
                <w:kern w:val="0"/>
                <w:sz w:val="24"/>
                <w:szCs w:val="24"/>
                <w:lang w:val="en-US" w:eastAsia="zh-CN" w:bidi="ar-SA"/>
              </w:rPr>
              <w:t>万</w:t>
            </w:r>
            <w:r>
              <w:rPr>
                <w:rFonts w:hint="default" w:ascii="Times New Roman" w:hAnsi="Times New Roman" w:cs="Times New Roman"/>
                <w:color w:val="auto"/>
                <w:kern w:val="0"/>
                <w:sz w:val="24"/>
                <w:szCs w:val="24"/>
                <w:lang w:val="en-US" w:eastAsia="zh-CN" w:bidi="ar-SA"/>
              </w:rPr>
              <w:t>元占总投资的</w:t>
            </w:r>
            <w:r>
              <w:rPr>
                <w:rFonts w:hint="eastAsia" w:cs="Times New Roman"/>
                <w:color w:val="auto"/>
                <w:kern w:val="0"/>
                <w:sz w:val="24"/>
                <w:szCs w:val="24"/>
                <w:lang w:val="en-US" w:eastAsia="zh-CN" w:bidi="ar-SA"/>
              </w:rPr>
              <w:t>45.2</w:t>
            </w:r>
            <w:r>
              <w:rPr>
                <w:rFonts w:hint="eastAsia" w:ascii="Times New Roman" w:hAnsi="Times New Roman" w:cs="Times New Roman"/>
                <w:color w:val="auto"/>
                <w:kern w:val="0"/>
                <w:sz w:val="24"/>
                <w:szCs w:val="24"/>
                <w:lang w:val="en-US" w:eastAsia="zh-CN" w:bidi="ar-SA"/>
              </w:rPr>
              <w:t xml:space="preserve"> %；项目实际总投资</w:t>
            </w:r>
            <w:r>
              <w:rPr>
                <w:rFonts w:hint="eastAsia" w:cs="Times New Roman"/>
                <w:color w:val="auto"/>
                <w:kern w:val="0"/>
                <w:sz w:val="24"/>
                <w:szCs w:val="24"/>
                <w:lang w:val="en-US" w:eastAsia="zh-CN" w:bidi="ar-SA"/>
              </w:rPr>
              <w:t>1350</w:t>
            </w:r>
            <w:r>
              <w:rPr>
                <w:rFonts w:hint="eastAsia" w:ascii="Times New Roman" w:hAnsi="Times New Roman" w:cs="Times New Roman"/>
                <w:color w:val="auto"/>
                <w:kern w:val="0"/>
                <w:sz w:val="24"/>
                <w:szCs w:val="24"/>
                <w:lang w:val="en-US" w:eastAsia="zh-CN" w:bidi="ar-SA"/>
              </w:rPr>
              <w:t>万</w:t>
            </w:r>
            <w:r>
              <w:rPr>
                <w:rFonts w:hint="default" w:ascii="Times New Roman" w:hAnsi="Times New Roman" w:cs="Times New Roman"/>
                <w:color w:val="auto"/>
                <w:kern w:val="0"/>
                <w:sz w:val="24"/>
                <w:szCs w:val="24"/>
                <w:lang w:val="en-US" w:eastAsia="zh-CN" w:bidi="ar-SA"/>
              </w:rPr>
              <w:t>元</w:t>
            </w:r>
            <w:r>
              <w:rPr>
                <w:rFonts w:hint="eastAsia" w:ascii="Times New Roman" w:hAnsi="Times New Roman" w:cs="Times New Roman"/>
                <w:color w:val="auto"/>
                <w:kern w:val="0"/>
                <w:sz w:val="24"/>
                <w:szCs w:val="24"/>
                <w:lang w:val="en-US" w:eastAsia="zh-CN" w:bidi="ar-SA"/>
              </w:rPr>
              <w:t>，环保投资为</w:t>
            </w:r>
            <w:r>
              <w:rPr>
                <w:rFonts w:hint="eastAsia" w:cs="Times New Roman"/>
                <w:color w:val="auto"/>
                <w:kern w:val="0"/>
                <w:sz w:val="24"/>
                <w:szCs w:val="24"/>
                <w:lang w:val="en-US" w:eastAsia="zh-CN" w:bidi="ar-SA"/>
              </w:rPr>
              <w:t>506</w:t>
            </w:r>
            <w:r>
              <w:rPr>
                <w:rFonts w:hint="eastAsia" w:ascii="Times New Roman" w:hAnsi="Times New Roman" w:cs="Times New Roman"/>
                <w:color w:val="auto"/>
                <w:kern w:val="0"/>
                <w:sz w:val="24"/>
                <w:szCs w:val="24"/>
                <w:lang w:val="en-US" w:eastAsia="zh-CN" w:bidi="ar-SA"/>
              </w:rPr>
              <w:t>万元，占总投资</w:t>
            </w:r>
            <w:r>
              <w:rPr>
                <w:rFonts w:hint="eastAsia" w:cs="Times New Roman"/>
                <w:color w:val="auto"/>
                <w:kern w:val="0"/>
                <w:sz w:val="24"/>
                <w:szCs w:val="24"/>
                <w:lang w:val="en-US" w:eastAsia="zh-CN" w:bidi="ar-SA"/>
              </w:rPr>
              <w:t>37.5</w:t>
            </w:r>
            <w:r>
              <w:rPr>
                <w:rFonts w:hint="eastAsia" w:ascii="Times New Roman" w:hAnsi="Times New Roman" w:cs="Times New Roman"/>
                <w:color w:val="auto"/>
                <w:kern w:val="0"/>
                <w:sz w:val="24"/>
                <w:szCs w:val="24"/>
                <w:lang w:val="en-US" w:eastAsia="zh-CN" w:bidi="ar-SA"/>
              </w:rPr>
              <w:t xml:space="preserve"> %。</w:t>
            </w:r>
          </w:p>
          <w:p w14:paraId="2C07DE9A">
            <w:pPr>
              <w:spacing w:line="240" w:lineRule="auto"/>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表3-1  环保投资一览表</w:t>
            </w:r>
          </w:p>
          <w:p w14:paraId="10ADF075">
            <w:pPr>
              <w:spacing w:line="240" w:lineRule="auto"/>
              <w:jc w:val="both"/>
              <w:rPr>
                <w:rFonts w:hint="default" w:ascii="Times New Roman" w:hAnsi="Times New Roman" w:cs="Times New Roman"/>
                <w:b/>
                <w:bCs/>
                <w:color w:val="auto"/>
                <w:sz w:val="21"/>
                <w:szCs w:val="21"/>
                <w:lang w:val="en-US" w:eastAsia="zh-CN"/>
              </w:rPr>
            </w:pPr>
          </w:p>
          <w:tbl>
            <w:tblPr>
              <w:tblStyle w:val="34"/>
              <w:tblW w:w="94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977"/>
              <w:gridCol w:w="2747"/>
              <w:gridCol w:w="912"/>
              <w:gridCol w:w="2795"/>
              <w:gridCol w:w="1038"/>
            </w:tblGrid>
            <w:tr w14:paraId="504C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15" w:type="dxa"/>
                  <w:gridSpan w:val="2"/>
                  <w:noWrap w:val="0"/>
                  <w:vAlign w:val="center"/>
                </w:tcPr>
                <w:p w14:paraId="55AD0BBB">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污染种类</w:t>
                  </w:r>
                </w:p>
              </w:tc>
              <w:tc>
                <w:tcPr>
                  <w:tcW w:w="2747" w:type="dxa"/>
                  <w:noWrap w:val="0"/>
                  <w:vAlign w:val="center"/>
                </w:tcPr>
                <w:p w14:paraId="397A2E75">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环评要求治理措施</w:t>
                  </w:r>
                </w:p>
              </w:tc>
              <w:tc>
                <w:tcPr>
                  <w:tcW w:w="912" w:type="dxa"/>
                  <w:noWrap w:val="0"/>
                  <w:vAlign w:val="center"/>
                </w:tcPr>
                <w:p w14:paraId="11C12A44">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环评</w:t>
                  </w:r>
                  <w:r>
                    <w:rPr>
                      <w:rFonts w:hint="eastAsia" w:ascii="Times New Roman" w:hAnsi="Times New Roman" w:cs="Times New Roman"/>
                      <w:color w:val="auto"/>
                      <w:sz w:val="21"/>
                      <w:szCs w:val="21"/>
                      <w:vertAlign w:val="baseline"/>
                      <w:lang w:val="en-US" w:eastAsia="zh-CN"/>
                    </w:rPr>
                    <w:t>预估投资</w:t>
                  </w:r>
                </w:p>
              </w:tc>
              <w:tc>
                <w:tcPr>
                  <w:tcW w:w="2795" w:type="dxa"/>
                  <w:noWrap w:val="0"/>
                  <w:vAlign w:val="center"/>
                </w:tcPr>
                <w:p w14:paraId="238CDCBA">
                  <w:pPr>
                    <w:bidi w:val="0"/>
                    <w:jc w:val="center"/>
                    <w:rPr>
                      <w:rFonts w:hint="default"/>
                      <w:color w:val="auto"/>
                      <w:sz w:val="21"/>
                      <w:szCs w:val="21"/>
                      <w:lang w:val="en-US" w:eastAsia="zh-CN"/>
                    </w:rPr>
                  </w:pPr>
                  <w:r>
                    <w:rPr>
                      <w:rFonts w:hint="eastAsia"/>
                      <w:color w:val="auto"/>
                      <w:sz w:val="21"/>
                      <w:szCs w:val="21"/>
                      <w:lang w:val="en-US" w:eastAsia="zh-CN"/>
                    </w:rPr>
                    <w:t>实际建设情况</w:t>
                  </w:r>
                </w:p>
              </w:tc>
              <w:tc>
                <w:tcPr>
                  <w:tcW w:w="1038" w:type="dxa"/>
                  <w:noWrap w:val="0"/>
                  <w:vAlign w:val="center"/>
                </w:tcPr>
                <w:p w14:paraId="29F31EFF">
                  <w:pPr>
                    <w:bidi w:val="0"/>
                    <w:jc w:val="center"/>
                    <w:rPr>
                      <w:rFonts w:hint="default" w:eastAsia="宋体"/>
                      <w:color w:val="auto"/>
                      <w:sz w:val="21"/>
                      <w:szCs w:val="21"/>
                      <w:lang w:val="en-US" w:eastAsia="zh-CN"/>
                    </w:rPr>
                  </w:pPr>
                  <w:r>
                    <w:rPr>
                      <w:rFonts w:hint="eastAsia"/>
                      <w:color w:val="auto"/>
                      <w:sz w:val="21"/>
                      <w:szCs w:val="21"/>
                      <w:lang w:val="en-US" w:eastAsia="zh-CN"/>
                    </w:rPr>
                    <w:t>实际投资</w:t>
                  </w:r>
                </w:p>
              </w:tc>
            </w:tr>
            <w:tr w14:paraId="69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restart"/>
                  <w:noWrap w:val="0"/>
                  <w:vAlign w:val="center"/>
                </w:tcPr>
                <w:p w14:paraId="61628A8F">
                  <w:pPr>
                    <w:bidi w:val="0"/>
                    <w:jc w:val="both"/>
                    <w:rPr>
                      <w:rFonts w:hint="default"/>
                      <w:color w:val="auto"/>
                      <w:sz w:val="21"/>
                      <w:szCs w:val="21"/>
                    </w:rPr>
                  </w:pPr>
                </w:p>
                <w:p w14:paraId="6F54AC0D">
                  <w:pPr>
                    <w:bidi w:val="0"/>
                    <w:jc w:val="center"/>
                    <w:rPr>
                      <w:rFonts w:hint="eastAsia" w:eastAsia="宋体"/>
                      <w:color w:val="auto"/>
                      <w:sz w:val="21"/>
                      <w:szCs w:val="21"/>
                      <w:lang w:val="en-US" w:eastAsia="zh-CN"/>
                    </w:rPr>
                  </w:pPr>
                  <w:r>
                    <w:rPr>
                      <w:rFonts w:hint="eastAsia"/>
                      <w:color w:val="auto"/>
                      <w:sz w:val="21"/>
                      <w:szCs w:val="21"/>
                      <w:lang w:val="en-US" w:eastAsia="zh-CN"/>
                    </w:rPr>
                    <w:t>废气</w:t>
                  </w:r>
                </w:p>
              </w:tc>
              <w:tc>
                <w:tcPr>
                  <w:tcW w:w="977" w:type="dxa"/>
                  <w:noWrap w:val="0"/>
                  <w:vAlign w:val="center"/>
                </w:tcPr>
                <w:p w14:paraId="77DD99AD">
                  <w:pPr>
                    <w:widowControl/>
                    <w:adjustRightInd w:val="0"/>
                    <w:snapToGrid w:val="0"/>
                    <w:jc w:val="center"/>
                    <w:rPr>
                      <w:rFonts w:hint="eastAsia" w:ascii="Times New Roman" w:hAnsi="Times New Roman" w:eastAsia="宋体" w:cs="Times New Roman"/>
                      <w:color w:val="auto"/>
                      <w:sz w:val="21"/>
                      <w:szCs w:val="21"/>
                      <w:vertAlign w:val="baseline"/>
                      <w:lang w:val="en-US" w:eastAsia="zh-CN"/>
                    </w:rPr>
                  </w:pPr>
                  <w:r>
                    <w:rPr>
                      <w:rFonts w:hint="eastAsia"/>
                      <w:kern w:val="0"/>
                      <w:szCs w:val="21"/>
                    </w:rPr>
                    <w:t>接料</w:t>
                  </w:r>
                  <w:r>
                    <w:rPr>
                      <w:kern w:val="0"/>
                      <w:szCs w:val="21"/>
                    </w:rPr>
                    <w:t>废气</w:t>
                  </w:r>
                </w:p>
              </w:tc>
              <w:tc>
                <w:tcPr>
                  <w:tcW w:w="2747" w:type="dxa"/>
                  <w:noWrap w:val="0"/>
                  <w:vAlign w:val="center"/>
                </w:tcPr>
                <w:p w14:paraId="08CD6BAD">
                  <w:pPr>
                    <w:widowControl/>
                    <w:adjustRightInd w:val="0"/>
                    <w:snapToGrid w:val="0"/>
                    <w:rPr>
                      <w:rFonts w:hint="default" w:ascii="Times New Roman" w:hAnsi="Times New Roman" w:cs="Times New Roman"/>
                      <w:color w:val="auto"/>
                      <w:sz w:val="21"/>
                      <w:szCs w:val="21"/>
                      <w:vertAlign w:val="baseline"/>
                    </w:rPr>
                  </w:pPr>
                  <w:r>
                    <w:rPr>
                      <w:kern w:val="0"/>
                      <w:szCs w:val="21"/>
                    </w:rPr>
                    <w:t>采用植物提取液（恶臭抑制剂）高压喷雾脱臭装置定期喷淋除臭并与</w:t>
                  </w:r>
                  <w:r>
                    <w:rPr>
                      <w:rFonts w:hint="eastAsia"/>
                      <w:kern w:val="0"/>
                      <w:szCs w:val="21"/>
                    </w:rPr>
                    <w:t>餐厨垃圾处理间</w:t>
                  </w:r>
                  <w:r>
                    <w:rPr>
                      <w:kern w:val="0"/>
                      <w:szCs w:val="21"/>
                    </w:rPr>
                    <w:t>负压抽气系统联合使用。</w:t>
                  </w:r>
                </w:p>
              </w:tc>
              <w:tc>
                <w:tcPr>
                  <w:tcW w:w="912" w:type="dxa"/>
                  <w:noWrap w:val="0"/>
                  <w:vAlign w:val="center"/>
                </w:tcPr>
                <w:p w14:paraId="33FFBB58">
                  <w:pPr>
                    <w:bidi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2万元</w:t>
                  </w:r>
                </w:p>
              </w:tc>
              <w:tc>
                <w:tcPr>
                  <w:tcW w:w="2795" w:type="dxa"/>
                  <w:noWrap w:val="0"/>
                  <w:vAlign w:val="center"/>
                </w:tcPr>
                <w:p w14:paraId="67790E79">
                  <w:pPr>
                    <w:widowControl/>
                    <w:adjustRightInd w:val="0"/>
                    <w:snapToGrid w:val="0"/>
                    <w:rPr>
                      <w:rFonts w:hint="default"/>
                      <w:sz w:val="21"/>
                      <w:szCs w:val="21"/>
                      <w:lang w:val="en-US" w:eastAsia="zh-CN"/>
                    </w:rPr>
                  </w:pPr>
                  <w:r>
                    <w:rPr>
                      <w:kern w:val="0"/>
                      <w:szCs w:val="21"/>
                    </w:rPr>
                    <w:t>采用植物提取液（恶臭抑制剂）高压喷雾脱臭装置定期喷淋除臭并与</w:t>
                  </w:r>
                  <w:r>
                    <w:rPr>
                      <w:rFonts w:hint="eastAsia"/>
                      <w:kern w:val="0"/>
                      <w:szCs w:val="21"/>
                    </w:rPr>
                    <w:t>餐厨垃圾处理间</w:t>
                  </w:r>
                  <w:r>
                    <w:rPr>
                      <w:kern w:val="0"/>
                      <w:szCs w:val="21"/>
                    </w:rPr>
                    <w:t>负压抽气系统联合使用。</w:t>
                  </w:r>
                </w:p>
              </w:tc>
              <w:tc>
                <w:tcPr>
                  <w:tcW w:w="1038" w:type="dxa"/>
                  <w:noWrap w:val="0"/>
                  <w:vAlign w:val="center"/>
                </w:tcPr>
                <w:p w14:paraId="6A8373EA">
                  <w:pPr>
                    <w:bidi w:val="0"/>
                    <w:jc w:val="center"/>
                    <w:rPr>
                      <w:rFonts w:hint="default" w:eastAsia="宋体"/>
                      <w:color w:val="auto"/>
                      <w:sz w:val="21"/>
                      <w:szCs w:val="21"/>
                      <w:lang w:val="en-US" w:eastAsia="zh-CN"/>
                    </w:rPr>
                  </w:pPr>
                  <w:r>
                    <w:rPr>
                      <w:rFonts w:hint="eastAsia"/>
                      <w:color w:val="auto"/>
                      <w:sz w:val="21"/>
                      <w:szCs w:val="21"/>
                      <w:lang w:val="en-US" w:eastAsia="zh-CN"/>
                    </w:rPr>
                    <w:t>2</w:t>
                  </w:r>
                  <w:r>
                    <w:rPr>
                      <w:rFonts w:hint="eastAsia" w:cs="Times New Roman"/>
                      <w:color w:val="auto"/>
                      <w:sz w:val="21"/>
                      <w:szCs w:val="21"/>
                      <w:vertAlign w:val="baseline"/>
                      <w:lang w:val="en-US" w:eastAsia="zh-CN"/>
                    </w:rPr>
                    <w:t>万元</w:t>
                  </w:r>
                </w:p>
              </w:tc>
            </w:tr>
            <w:tr w14:paraId="5BD1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continue"/>
                  <w:noWrap w:val="0"/>
                  <w:vAlign w:val="center"/>
                </w:tcPr>
                <w:p w14:paraId="76BCB6E7">
                  <w:pPr>
                    <w:bidi w:val="0"/>
                    <w:jc w:val="center"/>
                    <w:rPr>
                      <w:rFonts w:hint="eastAsia"/>
                      <w:color w:val="auto"/>
                      <w:sz w:val="21"/>
                      <w:szCs w:val="21"/>
                      <w:lang w:val="en-US" w:eastAsia="zh-CN"/>
                    </w:rPr>
                  </w:pPr>
                </w:p>
              </w:tc>
              <w:tc>
                <w:tcPr>
                  <w:tcW w:w="977" w:type="dxa"/>
                  <w:noWrap w:val="0"/>
                  <w:vAlign w:val="center"/>
                </w:tcPr>
                <w:p w14:paraId="606071F9">
                  <w:pPr>
                    <w:widowControl/>
                    <w:adjustRightInd w:val="0"/>
                    <w:snapToGrid w:val="0"/>
                    <w:jc w:val="center"/>
                    <w:rPr>
                      <w:rFonts w:hint="eastAsia" w:cs="Times New Roman"/>
                      <w:color w:val="auto"/>
                      <w:sz w:val="21"/>
                      <w:szCs w:val="21"/>
                      <w:vertAlign w:val="baseline"/>
                      <w:lang w:val="en-US" w:eastAsia="zh-CN"/>
                    </w:rPr>
                  </w:pPr>
                  <w:r>
                    <w:rPr>
                      <w:rFonts w:hint="eastAsia"/>
                      <w:kern w:val="0"/>
                      <w:szCs w:val="21"/>
                    </w:rPr>
                    <w:t>餐厨垃圾</w:t>
                  </w:r>
                  <w:r>
                    <w:rPr>
                      <w:kern w:val="0"/>
                      <w:szCs w:val="21"/>
                    </w:rPr>
                    <w:t>处理间废气</w:t>
                  </w:r>
                </w:p>
              </w:tc>
              <w:tc>
                <w:tcPr>
                  <w:tcW w:w="2747" w:type="dxa"/>
                  <w:noWrap w:val="0"/>
                  <w:vAlign w:val="center"/>
                </w:tcPr>
                <w:p w14:paraId="15DC7903">
                  <w:pPr>
                    <w:widowControl/>
                    <w:adjustRightInd w:val="0"/>
                    <w:snapToGrid w:val="0"/>
                    <w:jc w:val="left"/>
                    <w:rPr>
                      <w:rFonts w:hint="eastAsia" w:ascii="Arial" w:hAnsi="Arial" w:cs="Arial"/>
                      <w:i w:val="0"/>
                      <w:iCs w:val="0"/>
                      <w:color w:val="auto"/>
                      <w:kern w:val="0"/>
                      <w:sz w:val="21"/>
                      <w:szCs w:val="21"/>
                      <w:u w:val="none"/>
                      <w:lang w:val="en-US" w:eastAsia="zh-CN" w:bidi="ar"/>
                    </w:rPr>
                  </w:pPr>
                  <w:r>
                    <w:rPr>
                      <w:kern w:val="0"/>
                      <w:szCs w:val="21"/>
                    </w:rPr>
                    <w:t>拟对各设备处加装集气罩收集臭气，对车间作业区全封闭，设置二道封闭措施，采用门帘处理，室内采用负压运行，臭气由风机引至碱洗喷淋塔+生物吸附床处理后15m高，出口内径0.8m的DA001外排。</w:t>
                  </w:r>
                </w:p>
              </w:tc>
              <w:tc>
                <w:tcPr>
                  <w:tcW w:w="912" w:type="dxa"/>
                  <w:noWrap w:val="0"/>
                  <w:vAlign w:val="center"/>
                </w:tcPr>
                <w:p w14:paraId="63626380">
                  <w:pPr>
                    <w:bidi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45万元</w:t>
                  </w:r>
                </w:p>
              </w:tc>
              <w:tc>
                <w:tcPr>
                  <w:tcW w:w="2795" w:type="dxa"/>
                  <w:noWrap w:val="0"/>
                  <w:vAlign w:val="center"/>
                </w:tcPr>
                <w:p w14:paraId="46AE98CA">
                  <w:pPr>
                    <w:widowControl/>
                    <w:adjustRightInd w:val="0"/>
                    <w:snapToGrid w:val="0"/>
                    <w:jc w:val="left"/>
                    <w:rPr>
                      <w:rFonts w:hint="eastAsia" w:ascii="Arial" w:hAnsi="Arial" w:cs="Arial"/>
                      <w:i w:val="0"/>
                      <w:iCs w:val="0"/>
                      <w:color w:val="auto"/>
                      <w:kern w:val="0"/>
                      <w:sz w:val="21"/>
                      <w:szCs w:val="21"/>
                      <w:u w:val="none"/>
                      <w:lang w:val="en-US" w:eastAsia="zh-CN" w:bidi="ar"/>
                    </w:rPr>
                  </w:pPr>
                  <w:r>
                    <w:rPr>
                      <w:kern w:val="0"/>
                      <w:szCs w:val="21"/>
                    </w:rPr>
                    <w:t>对各设备处加装集气罩收集臭气，对车间作业区全封闭，设置二道封闭措施，采用门帘处理，室内采用负压运行，臭气由风机引至碱洗喷淋塔+生物吸附床处理后15m高，出口内径0.8m的DA001外排。</w:t>
                  </w:r>
                </w:p>
              </w:tc>
              <w:tc>
                <w:tcPr>
                  <w:tcW w:w="1038" w:type="dxa"/>
                  <w:noWrap w:val="0"/>
                  <w:vAlign w:val="center"/>
                </w:tcPr>
                <w:p w14:paraId="33A55567">
                  <w:pPr>
                    <w:bidi w:val="0"/>
                    <w:jc w:val="center"/>
                    <w:rPr>
                      <w:rFonts w:hint="default"/>
                      <w:color w:val="auto"/>
                      <w:sz w:val="21"/>
                      <w:szCs w:val="21"/>
                      <w:lang w:val="en-US" w:eastAsia="zh-CN"/>
                    </w:rPr>
                  </w:pPr>
                  <w:r>
                    <w:rPr>
                      <w:rFonts w:hint="eastAsia"/>
                      <w:color w:val="auto"/>
                      <w:sz w:val="21"/>
                      <w:szCs w:val="21"/>
                      <w:lang w:val="en-US" w:eastAsia="zh-CN"/>
                    </w:rPr>
                    <w:t>45</w:t>
                  </w:r>
                  <w:r>
                    <w:rPr>
                      <w:rFonts w:hint="eastAsia" w:cs="Times New Roman"/>
                      <w:color w:val="auto"/>
                      <w:sz w:val="21"/>
                      <w:szCs w:val="21"/>
                      <w:vertAlign w:val="baseline"/>
                      <w:lang w:val="en-US" w:eastAsia="zh-CN"/>
                    </w:rPr>
                    <w:t>万元</w:t>
                  </w:r>
                </w:p>
              </w:tc>
            </w:tr>
            <w:tr w14:paraId="0467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continue"/>
                  <w:noWrap w:val="0"/>
                  <w:vAlign w:val="center"/>
                </w:tcPr>
                <w:p w14:paraId="0DEE4BD3">
                  <w:pPr>
                    <w:bidi w:val="0"/>
                    <w:jc w:val="center"/>
                    <w:rPr>
                      <w:rFonts w:hint="eastAsia"/>
                      <w:color w:val="auto"/>
                      <w:sz w:val="21"/>
                      <w:szCs w:val="21"/>
                      <w:lang w:val="en-US" w:eastAsia="zh-CN"/>
                    </w:rPr>
                  </w:pPr>
                </w:p>
              </w:tc>
              <w:tc>
                <w:tcPr>
                  <w:tcW w:w="977" w:type="dxa"/>
                  <w:noWrap w:val="0"/>
                  <w:vAlign w:val="center"/>
                </w:tcPr>
                <w:p w14:paraId="70248900">
                  <w:pPr>
                    <w:widowControl/>
                    <w:adjustRightInd w:val="0"/>
                    <w:snapToGrid w:val="0"/>
                    <w:jc w:val="center"/>
                    <w:rPr>
                      <w:rFonts w:hint="eastAsia" w:cs="Times New Roman"/>
                      <w:color w:val="auto"/>
                      <w:sz w:val="21"/>
                      <w:szCs w:val="21"/>
                      <w:vertAlign w:val="baseline"/>
                      <w:lang w:val="en-US" w:eastAsia="zh-CN"/>
                    </w:rPr>
                  </w:pPr>
                  <w:r>
                    <w:rPr>
                      <w:kern w:val="0"/>
                      <w:szCs w:val="21"/>
                    </w:rPr>
                    <w:t>厌氧发酵区废气（沼气）</w:t>
                  </w:r>
                </w:p>
              </w:tc>
              <w:tc>
                <w:tcPr>
                  <w:tcW w:w="2747" w:type="dxa"/>
                  <w:noWrap w:val="0"/>
                  <w:vAlign w:val="center"/>
                </w:tcPr>
                <w:p w14:paraId="28699199">
                  <w:pPr>
                    <w:widowControl/>
                    <w:adjustRightInd w:val="0"/>
                    <w:snapToGrid w:val="0"/>
                    <w:jc w:val="center"/>
                    <w:rPr>
                      <w:rFonts w:hint="eastAsia" w:ascii="Arial" w:hAnsi="Arial" w:cs="Arial"/>
                      <w:i w:val="0"/>
                      <w:iCs w:val="0"/>
                      <w:color w:val="auto"/>
                      <w:kern w:val="0"/>
                      <w:sz w:val="21"/>
                      <w:szCs w:val="21"/>
                      <w:u w:val="none"/>
                      <w:lang w:val="en-US" w:eastAsia="zh-CN" w:bidi="ar"/>
                    </w:rPr>
                  </w:pPr>
                  <w:r>
                    <w:rPr>
                      <w:kern w:val="0"/>
                      <w:szCs w:val="21"/>
                    </w:rPr>
                    <w:t>设1套沼气净化系统+沼气利用系统+紧急火炬。</w:t>
                  </w:r>
                </w:p>
              </w:tc>
              <w:tc>
                <w:tcPr>
                  <w:tcW w:w="912" w:type="dxa"/>
                  <w:noWrap w:val="0"/>
                  <w:vAlign w:val="center"/>
                </w:tcPr>
                <w:p w14:paraId="494CE5B5">
                  <w:pPr>
                    <w:bidi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3万元</w:t>
                  </w:r>
                </w:p>
              </w:tc>
              <w:tc>
                <w:tcPr>
                  <w:tcW w:w="2795" w:type="dxa"/>
                  <w:noWrap w:val="0"/>
                  <w:vAlign w:val="center"/>
                </w:tcPr>
                <w:p w14:paraId="29A56903">
                  <w:pPr>
                    <w:widowControl/>
                    <w:adjustRightInd w:val="0"/>
                    <w:snapToGrid w:val="0"/>
                    <w:jc w:val="center"/>
                    <w:rPr>
                      <w:rFonts w:hint="eastAsia" w:ascii="Arial" w:hAnsi="Arial" w:cs="Arial"/>
                      <w:i w:val="0"/>
                      <w:iCs w:val="0"/>
                      <w:color w:val="auto"/>
                      <w:kern w:val="0"/>
                      <w:sz w:val="21"/>
                      <w:szCs w:val="21"/>
                      <w:u w:val="none"/>
                      <w:lang w:val="en-US" w:eastAsia="zh-CN" w:bidi="ar"/>
                    </w:rPr>
                  </w:pPr>
                  <w:r>
                    <w:rPr>
                      <w:kern w:val="0"/>
                      <w:szCs w:val="21"/>
                    </w:rPr>
                    <w:t>设1套沼气净化系统+沼气利用系统+紧急火炬。</w:t>
                  </w:r>
                </w:p>
              </w:tc>
              <w:tc>
                <w:tcPr>
                  <w:tcW w:w="1038" w:type="dxa"/>
                  <w:noWrap w:val="0"/>
                  <w:vAlign w:val="center"/>
                </w:tcPr>
                <w:p w14:paraId="3EEF38D9">
                  <w:pPr>
                    <w:bidi w:val="0"/>
                    <w:jc w:val="center"/>
                    <w:rPr>
                      <w:rFonts w:hint="default"/>
                      <w:color w:val="auto"/>
                      <w:sz w:val="21"/>
                      <w:szCs w:val="21"/>
                      <w:lang w:val="en-US" w:eastAsia="zh-CN"/>
                    </w:rPr>
                  </w:pPr>
                  <w:r>
                    <w:rPr>
                      <w:rFonts w:hint="eastAsia"/>
                      <w:color w:val="auto"/>
                      <w:sz w:val="21"/>
                      <w:szCs w:val="21"/>
                      <w:lang w:val="en-US" w:eastAsia="zh-CN"/>
                    </w:rPr>
                    <w:t>3</w:t>
                  </w:r>
                  <w:r>
                    <w:rPr>
                      <w:rFonts w:hint="eastAsia" w:cs="Times New Roman"/>
                      <w:color w:val="auto"/>
                      <w:sz w:val="21"/>
                      <w:szCs w:val="21"/>
                      <w:vertAlign w:val="baseline"/>
                      <w:lang w:val="en-US" w:eastAsia="zh-CN"/>
                    </w:rPr>
                    <w:t>万元</w:t>
                  </w:r>
                </w:p>
              </w:tc>
            </w:tr>
            <w:tr w14:paraId="5025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continue"/>
                  <w:noWrap w:val="0"/>
                  <w:vAlign w:val="center"/>
                </w:tcPr>
                <w:p w14:paraId="0057C9DF">
                  <w:pPr>
                    <w:bidi w:val="0"/>
                    <w:jc w:val="center"/>
                    <w:rPr>
                      <w:rFonts w:hint="eastAsia"/>
                      <w:color w:val="auto"/>
                      <w:sz w:val="21"/>
                      <w:szCs w:val="21"/>
                      <w:lang w:val="en-US" w:eastAsia="zh-CN"/>
                    </w:rPr>
                  </w:pPr>
                </w:p>
              </w:tc>
              <w:tc>
                <w:tcPr>
                  <w:tcW w:w="977" w:type="dxa"/>
                  <w:noWrap w:val="0"/>
                  <w:vAlign w:val="center"/>
                </w:tcPr>
                <w:p w14:paraId="500076E0">
                  <w:pPr>
                    <w:widowControl/>
                    <w:adjustRightInd w:val="0"/>
                    <w:snapToGrid w:val="0"/>
                    <w:jc w:val="center"/>
                    <w:rPr>
                      <w:rFonts w:hint="eastAsia" w:cs="Times New Roman"/>
                      <w:color w:val="auto"/>
                      <w:sz w:val="21"/>
                      <w:szCs w:val="21"/>
                      <w:vertAlign w:val="baseline"/>
                      <w:lang w:val="en-US" w:eastAsia="zh-CN"/>
                    </w:rPr>
                  </w:pPr>
                  <w:r>
                    <w:rPr>
                      <w:kern w:val="0"/>
                      <w:szCs w:val="21"/>
                    </w:rPr>
                    <w:t>污水站废气</w:t>
                  </w:r>
                </w:p>
              </w:tc>
              <w:tc>
                <w:tcPr>
                  <w:tcW w:w="2747" w:type="dxa"/>
                  <w:noWrap w:val="0"/>
                  <w:vAlign w:val="center"/>
                </w:tcPr>
                <w:p w14:paraId="201B5F8D">
                  <w:pPr>
                    <w:widowControl/>
                    <w:adjustRightInd w:val="0"/>
                    <w:snapToGrid w:val="0"/>
                    <w:rPr>
                      <w:rFonts w:hint="eastAsia" w:ascii="Arial" w:hAnsi="Arial" w:cs="Arial"/>
                      <w:i w:val="0"/>
                      <w:iCs w:val="0"/>
                      <w:color w:val="auto"/>
                      <w:kern w:val="0"/>
                      <w:sz w:val="21"/>
                      <w:szCs w:val="21"/>
                      <w:u w:val="none"/>
                      <w:lang w:val="en-US" w:eastAsia="zh-CN" w:bidi="ar"/>
                    </w:rPr>
                  </w:pPr>
                  <w:r>
                    <w:rPr>
                      <w:rFonts w:hint="eastAsia"/>
                    </w:rPr>
                    <w:t>污水处理站全密闭设计，由于本项目污水处理设计工艺为厌氧工艺，仅缓慢产生少量臭气，要求在污水处理站附近增加绿植覆盖处理。</w:t>
                  </w:r>
                </w:p>
              </w:tc>
              <w:tc>
                <w:tcPr>
                  <w:tcW w:w="912" w:type="dxa"/>
                  <w:noWrap w:val="0"/>
                  <w:vAlign w:val="center"/>
                </w:tcPr>
                <w:p w14:paraId="04D82F52">
                  <w:pPr>
                    <w:bidi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2万元</w:t>
                  </w:r>
                </w:p>
              </w:tc>
              <w:tc>
                <w:tcPr>
                  <w:tcW w:w="2795" w:type="dxa"/>
                  <w:noWrap w:val="0"/>
                  <w:vAlign w:val="center"/>
                </w:tcPr>
                <w:p w14:paraId="158A88FA">
                  <w:pPr>
                    <w:widowControl/>
                    <w:adjustRightInd w:val="0"/>
                    <w:snapToGrid w:val="0"/>
                    <w:rPr>
                      <w:rFonts w:hint="eastAsia" w:ascii="Arial" w:hAnsi="Arial" w:cs="Arial"/>
                      <w:i w:val="0"/>
                      <w:iCs w:val="0"/>
                      <w:color w:val="auto"/>
                      <w:kern w:val="0"/>
                      <w:sz w:val="21"/>
                      <w:szCs w:val="21"/>
                      <w:u w:val="none"/>
                      <w:lang w:val="en-US" w:eastAsia="zh-CN" w:bidi="ar"/>
                    </w:rPr>
                  </w:pPr>
                  <w:r>
                    <w:rPr>
                      <w:rFonts w:hint="eastAsia"/>
                    </w:rPr>
                    <w:t>污水处理站全密闭设计，由于本项目污水处理设计工艺为厌氧工艺，仅缓慢产生少量臭气，污水处理站附近</w:t>
                  </w:r>
                  <w:r>
                    <w:rPr>
                      <w:rFonts w:hint="eastAsia"/>
                      <w:lang w:eastAsia="zh-CN"/>
                    </w:rPr>
                    <w:t>进行</w:t>
                  </w:r>
                  <w:r>
                    <w:rPr>
                      <w:rFonts w:hint="eastAsia"/>
                    </w:rPr>
                    <w:t>绿植覆盖。</w:t>
                  </w:r>
                </w:p>
              </w:tc>
              <w:tc>
                <w:tcPr>
                  <w:tcW w:w="1038" w:type="dxa"/>
                  <w:noWrap w:val="0"/>
                  <w:vAlign w:val="center"/>
                </w:tcPr>
                <w:p w14:paraId="7C598012">
                  <w:pPr>
                    <w:bidi w:val="0"/>
                    <w:jc w:val="center"/>
                    <w:rPr>
                      <w:rFonts w:hint="default"/>
                      <w:color w:val="auto"/>
                      <w:sz w:val="21"/>
                      <w:szCs w:val="21"/>
                      <w:lang w:val="en-US" w:eastAsia="zh-CN"/>
                    </w:rPr>
                  </w:pPr>
                  <w:r>
                    <w:rPr>
                      <w:rFonts w:hint="eastAsia"/>
                      <w:color w:val="auto"/>
                      <w:sz w:val="21"/>
                      <w:szCs w:val="21"/>
                      <w:lang w:val="en-US" w:eastAsia="zh-CN"/>
                    </w:rPr>
                    <w:t>1</w:t>
                  </w:r>
                  <w:r>
                    <w:rPr>
                      <w:rFonts w:hint="eastAsia" w:cs="Times New Roman"/>
                      <w:color w:val="auto"/>
                      <w:sz w:val="21"/>
                      <w:szCs w:val="21"/>
                      <w:vertAlign w:val="baseline"/>
                      <w:lang w:val="en-US" w:eastAsia="zh-CN"/>
                    </w:rPr>
                    <w:t>万元</w:t>
                  </w:r>
                </w:p>
              </w:tc>
            </w:tr>
            <w:tr w14:paraId="45D4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38" w:type="dxa"/>
                  <w:noWrap w:val="0"/>
                  <w:vAlign w:val="center"/>
                </w:tcPr>
                <w:p w14:paraId="3CE8D1E3">
                  <w:pPr>
                    <w:widowControl/>
                    <w:adjustRightInd w:val="0"/>
                    <w:snapToGrid w:val="0"/>
                    <w:jc w:val="center"/>
                    <w:rPr>
                      <w:rFonts w:hint="default" w:ascii="Times New Roman" w:hAnsi="Times New Roman" w:eastAsia="宋体" w:cs="Times New Roman"/>
                      <w:color w:val="auto"/>
                      <w:sz w:val="21"/>
                      <w:szCs w:val="21"/>
                      <w:vertAlign w:val="baseline"/>
                      <w:lang w:val="en-US" w:eastAsia="zh-CN"/>
                    </w:rPr>
                  </w:pPr>
                  <w:r>
                    <w:rPr>
                      <w:b w:val="0"/>
                      <w:bCs w:val="0"/>
                      <w:kern w:val="0"/>
                      <w:szCs w:val="21"/>
                    </w:rPr>
                    <w:t>废水</w:t>
                  </w:r>
                </w:p>
              </w:tc>
              <w:tc>
                <w:tcPr>
                  <w:tcW w:w="977" w:type="dxa"/>
                  <w:noWrap w:val="0"/>
                  <w:vAlign w:val="center"/>
                </w:tcPr>
                <w:p w14:paraId="33B4AB40">
                  <w:pPr>
                    <w:widowControl/>
                    <w:adjustRightInd w:val="0"/>
                    <w:snapToGrid w:val="0"/>
                    <w:jc w:val="center"/>
                    <w:rPr>
                      <w:rFonts w:hint="eastAsia" w:ascii="Times New Roman" w:hAnsi="Times New Roman" w:eastAsia="宋体" w:cs="Times New Roman"/>
                      <w:color w:val="auto"/>
                      <w:sz w:val="21"/>
                      <w:szCs w:val="21"/>
                      <w:vertAlign w:val="baseline"/>
                      <w:lang w:eastAsia="zh-CN"/>
                    </w:rPr>
                  </w:pPr>
                  <w:r>
                    <w:rPr>
                      <w:kern w:val="0"/>
                      <w:szCs w:val="21"/>
                    </w:rPr>
                    <w:t>生活污水生产废水</w:t>
                  </w:r>
                </w:p>
              </w:tc>
              <w:tc>
                <w:tcPr>
                  <w:tcW w:w="2747" w:type="dxa"/>
                  <w:noWrap w:val="0"/>
                  <w:vAlign w:val="center"/>
                </w:tcPr>
                <w:p w14:paraId="5FC36454">
                  <w:pPr>
                    <w:widowControl/>
                    <w:adjustRightInd w:val="0"/>
                    <w:snapToGrid w:val="0"/>
                    <w:rPr>
                      <w:rFonts w:hint="default" w:ascii="Times New Roman" w:hAnsi="Times New Roman" w:cs="Times New Roman"/>
                      <w:color w:val="auto"/>
                      <w:sz w:val="21"/>
                      <w:szCs w:val="21"/>
                      <w:vertAlign w:val="baseline"/>
                    </w:rPr>
                  </w:pPr>
                  <w:r>
                    <w:rPr>
                      <w:kern w:val="0"/>
                      <w:szCs w:val="21"/>
                    </w:rPr>
                    <w:t>生活污水经化粪池处理后，进入处理生产废水污水处理站；生产废水拟建1座污水处理站（日处理能力1</w:t>
                  </w:r>
                  <w:r>
                    <w:rPr>
                      <w:rFonts w:hint="eastAsia"/>
                      <w:kern w:val="0"/>
                      <w:szCs w:val="21"/>
                    </w:rPr>
                    <w:t>8</w:t>
                  </w:r>
                  <w:r>
                    <w:rPr>
                      <w:kern w:val="0"/>
                      <w:szCs w:val="21"/>
                    </w:rPr>
                    <w:t>m</w:t>
                  </w:r>
                  <w:r>
                    <w:rPr>
                      <w:kern w:val="0"/>
                      <w:szCs w:val="21"/>
                      <w:vertAlign w:val="superscript"/>
                    </w:rPr>
                    <w:t>3</w:t>
                  </w:r>
                  <w:r>
                    <w:rPr>
                      <w:kern w:val="0"/>
                      <w:szCs w:val="21"/>
                    </w:rPr>
                    <w:t>），设计为地上一体化装置，采用“调节池+CSTR厌氧反应器”工艺处理达</w:t>
                  </w:r>
                  <w:r>
                    <w:rPr>
                      <w:rFonts w:hint="eastAsia"/>
                      <w:kern w:val="0"/>
                      <w:szCs w:val="21"/>
                    </w:rPr>
                    <w:t>污水</w:t>
                  </w:r>
                  <w:r>
                    <w:rPr>
                      <w:kern w:val="0"/>
                      <w:szCs w:val="21"/>
                    </w:rPr>
                    <w:t>处理协议中废水接纳标准后，排入</w:t>
                  </w:r>
                  <w:r>
                    <w:rPr>
                      <w:rFonts w:hint="eastAsia"/>
                      <w:kern w:val="0"/>
                      <w:szCs w:val="21"/>
                    </w:rPr>
                    <w:t>青川县生活垃圾处理厂渗滤液处理厂。</w:t>
                  </w:r>
                </w:p>
              </w:tc>
              <w:tc>
                <w:tcPr>
                  <w:tcW w:w="912" w:type="dxa"/>
                  <w:noWrap w:val="0"/>
                  <w:vAlign w:val="center"/>
                </w:tcPr>
                <w:p w14:paraId="17360752">
                  <w:pPr>
                    <w:bidi w:val="0"/>
                    <w:jc w:val="center"/>
                    <w:rPr>
                      <w:rFonts w:hint="default" w:ascii="Times New Roman" w:hAnsi="Times New Roman" w:cs="Times New Roman"/>
                      <w:color w:val="auto"/>
                      <w:sz w:val="21"/>
                      <w:szCs w:val="21"/>
                      <w:vertAlign w:val="baseline"/>
                    </w:rPr>
                  </w:pPr>
                  <w:r>
                    <w:rPr>
                      <w:rFonts w:hint="eastAsia" w:ascii="Times New Roman" w:hAnsi="Times New Roman" w:eastAsia="宋体" w:cs="Times New Roman"/>
                      <w:color w:val="auto"/>
                      <w:sz w:val="21"/>
                      <w:szCs w:val="21"/>
                      <w:lang w:val="en-US" w:eastAsia="zh-CN"/>
                    </w:rPr>
                    <w:t>21万元</w:t>
                  </w:r>
                </w:p>
              </w:tc>
              <w:tc>
                <w:tcPr>
                  <w:tcW w:w="2795" w:type="dxa"/>
                  <w:noWrap w:val="0"/>
                  <w:vAlign w:val="center"/>
                </w:tcPr>
                <w:p w14:paraId="4BC53570">
                  <w:pPr>
                    <w:keepNext w:val="0"/>
                    <w:keepLines w:val="0"/>
                    <w:widowControl/>
                    <w:suppressLineNumbers w:val="0"/>
                    <w:jc w:val="center"/>
                    <w:textAlignment w:val="center"/>
                    <w:rPr>
                      <w:rFonts w:hint="default" w:ascii="Times New Roman" w:hAnsi="Times New Roman" w:cs="Times New Roman"/>
                      <w:color w:val="auto"/>
                      <w:sz w:val="21"/>
                      <w:szCs w:val="21"/>
                      <w:vertAlign w:val="baseline"/>
                    </w:rPr>
                  </w:pPr>
                  <w:r>
                    <w:rPr>
                      <w:kern w:val="0"/>
                      <w:szCs w:val="21"/>
                    </w:rPr>
                    <w:t>生活污水经化粪池处理后，排入</w:t>
                  </w:r>
                  <w:r>
                    <w:rPr>
                      <w:rFonts w:hint="eastAsia"/>
                      <w:kern w:val="0"/>
                      <w:szCs w:val="21"/>
                    </w:rPr>
                    <w:t>青川县生活垃圾处理厂渗滤液处理厂</w:t>
                  </w:r>
                  <w:r>
                    <w:rPr>
                      <w:kern w:val="0"/>
                      <w:szCs w:val="21"/>
                    </w:rPr>
                    <w:t>；生产废水</w:t>
                  </w:r>
                  <w:r>
                    <w:rPr>
                      <w:rFonts w:hint="eastAsia"/>
                      <w:kern w:val="0"/>
                      <w:szCs w:val="21"/>
                      <w:lang w:eastAsia="zh-CN"/>
                    </w:rPr>
                    <w:t>建设</w:t>
                  </w:r>
                  <w:r>
                    <w:rPr>
                      <w:kern w:val="0"/>
                      <w:szCs w:val="21"/>
                    </w:rPr>
                    <w:t>1座污水处理站（日处理能力1</w:t>
                  </w:r>
                  <w:r>
                    <w:rPr>
                      <w:rFonts w:hint="eastAsia"/>
                      <w:kern w:val="0"/>
                      <w:szCs w:val="21"/>
                    </w:rPr>
                    <w:t>8</w:t>
                  </w:r>
                  <w:r>
                    <w:rPr>
                      <w:kern w:val="0"/>
                      <w:szCs w:val="21"/>
                    </w:rPr>
                    <w:t>m</w:t>
                  </w:r>
                  <w:r>
                    <w:rPr>
                      <w:kern w:val="0"/>
                      <w:szCs w:val="21"/>
                      <w:vertAlign w:val="superscript"/>
                    </w:rPr>
                    <w:t>3</w:t>
                  </w:r>
                  <w:r>
                    <w:rPr>
                      <w:kern w:val="0"/>
                      <w:szCs w:val="21"/>
                    </w:rPr>
                    <w:t>），设计为地上一体化装置，采用“调节池+CSTR厌氧反应器”工艺处理达</w:t>
                  </w:r>
                  <w:r>
                    <w:rPr>
                      <w:rFonts w:hint="eastAsia"/>
                      <w:kern w:val="0"/>
                      <w:szCs w:val="21"/>
                    </w:rPr>
                    <w:t>污水</w:t>
                  </w:r>
                  <w:r>
                    <w:rPr>
                      <w:kern w:val="0"/>
                      <w:szCs w:val="21"/>
                    </w:rPr>
                    <w:t>处理协议中废水接纳标准后，排入</w:t>
                  </w:r>
                  <w:r>
                    <w:rPr>
                      <w:rFonts w:hint="eastAsia"/>
                      <w:kern w:val="0"/>
                      <w:szCs w:val="21"/>
                    </w:rPr>
                    <w:t>青川县生活垃圾处理厂渗滤液处理厂。</w:t>
                  </w:r>
                </w:p>
              </w:tc>
              <w:tc>
                <w:tcPr>
                  <w:tcW w:w="1038" w:type="dxa"/>
                  <w:noWrap w:val="0"/>
                  <w:vAlign w:val="center"/>
                </w:tcPr>
                <w:p w14:paraId="51863E45">
                  <w:pPr>
                    <w:bidi w:val="0"/>
                    <w:jc w:val="center"/>
                    <w:rPr>
                      <w:rFonts w:hint="default" w:eastAsia="宋体"/>
                      <w:color w:val="auto"/>
                      <w:sz w:val="21"/>
                      <w:szCs w:val="21"/>
                      <w:lang w:val="en-US" w:eastAsia="zh-CN"/>
                    </w:rPr>
                  </w:pPr>
                  <w:r>
                    <w:rPr>
                      <w:rFonts w:hint="eastAsia"/>
                      <w:color w:val="auto"/>
                      <w:sz w:val="21"/>
                      <w:szCs w:val="21"/>
                      <w:lang w:val="en-US" w:eastAsia="zh-CN"/>
                    </w:rPr>
                    <w:t>21</w:t>
                  </w:r>
                  <w:r>
                    <w:rPr>
                      <w:rFonts w:hint="eastAsia" w:cs="Times New Roman"/>
                      <w:color w:val="auto"/>
                      <w:sz w:val="21"/>
                      <w:szCs w:val="21"/>
                      <w:vertAlign w:val="baseline"/>
                      <w:lang w:val="en-US" w:eastAsia="zh-CN"/>
                    </w:rPr>
                    <w:t>万元</w:t>
                  </w:r>
                </w:p>
              </w:tc>
            </w:tr>
            <w:tr w14:paraId="75CF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restart"/>
                  <w:noWrap w:val="0"/>
                  <w:vAlign w:val="center"/>
                </w:tcPr>
                <w:p w14:paraId="42CDACB2">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噪声</w:t>
                  </w:r>
                </w:p>
              </w:tc>
              <w:tc>
                <w:tcPr>
                  <w:tcW w:w="977" w:type="dxa"/>
                  <w:noWrap w:val="0"/>
                  <w:vAlign w:val="center"/>
                </w:tcPr>
                <w:p w14:paraId="5EC7D3C8">
                  <w:pPr>
                    <w:widowControl/>
                    <w:adjustRightInd w:val="0"/>
                    <w:snapToGrid w:val="0"/>
                    <w:jc w:val="center"/>
                    <w:rPr>
                      <w:rFonts w:hint="default" w:ascii="Times New Roman" w:hAnsi="Times New Roman" w:cs="Times New Roman"/>
                      <w:color w:val="auto"/>
                      <w:sz w:val="21"/>
                      <w:szCs w:val="21"/>
                      <w:vertAlign w:val="baseline"/>
                    </w:rPr>
                  </w:pPr>
                  <w:r>
                    <w:rPr>
                      <w:kern w:val="0"/>
                      <w:szCs w:val="21"/>
                    </w:rPr>
                    <w:t>设备噪声</w:t>
                  </w:r>
                </w:p>
              </w:tc>
              <w:tc>
                <w:tcPr>
                  <w:tcW w:w="2747" w:type="dxa"/>
                  <w:noWrap w:val="0"/>
                  <w:vAlign w:val="center"/>
                </w:tcPr>
                <w:p w14:paraId="452235A4">
                  <w:pPr>
                    <w:widowControl/>
                    <w:adjustRightInd w:val="0"/>
                    <w:snapToGrid w:val="0"/>
                    <w:rPr>
                      <w:rFonts w:hint="default" w:ascii="Times New Roman" w:hAnsi="Times New Roman" w:cs="Times New Roman"/>
                      <w:color w:val="auto"/>
                      <w:sz w:val="21"/>
                      <w:szCs w:val="21"/>
                      <w:vertAlign w:val="baseline"/>
                    </w:rPr>
                  </w:pPr>
                  <w:r>
                    <w:rPr>
                      <w:kern w:val="0"/>
                      <w:szCs w:val="21"/>
                    </w:rPr>
                    <w:t>设备基础减振、厂房隔声、距离衰减、加强夜间生产管理等。</w:t>
                  </w:r>
                </w:p>
              </w:tc>
              <w:tc>
                <w:tcPr>
                  <w:tcW w:w="912" w:type="dxa"/>
                  <w:noWrap w:val="0"/>
                  <w:vAlign w:val="center"/>
                </w:tcPr>
                <w:p w14:paraId="588BA5F0">
                  <w:pPr>
                    <w:keepNext w:val="0"/>
                    <w:keepLines w:val="0"/>
                    <w:widowControl/>
                    <w:suppressLineNumbers w:val="0"/>
                    <w:jc w:val="center"/>
                    <w:textAlignment w:val="center"/>
                    <w:rPr>
                      <w:rFonts w:hint="default" w:ascii="Times New Roman" w:hAnsi="Times New Roman" w:cs="Times New Roman"/>
                      <w:color w:val="auto"/>
                      <w:sz w:val="21"/>
                      <w:szCs w:val="21"/>
                      <w:vertAlign w:val="baseline"/>
                    </w:rPr>
                  </w:pPr>
                  <w:r>
                    <w:rPr>
                      <w:rFonts w:hint="eastAsia" w:ascii="Arial" w:hAnsi="Arial" w:cs="Arial"/>
                      <w:i w:val="0"/>
                      <w:iCs w:val="0"/>
                      <w:color w:val="auto"/>
                      <w:kern w:val="0"/>
                      <w:sz w:val="21"/>
                      <w:szCs w:val="21"/>
                      <w:u w:val="none"/>
                      <w:lang w:val="en-US" w:eastAsia="zh-CN" w:bidi="ar"/>
                    </w:rPr>
                    <w:t>5</w:t>
                  </w:r>
                  <w:r>
                    <w:rPr>
                      <w:rFonts w:hint="eastAsia" w:cs="Times New Roman"/>
                      <w:color w:val="auto"/>
                      <w:sz w:val="21"/>
                      <w:szCs w:val="21"/>
                      <w:vertAlign w:val="baseline"/>
                      <w:lang w:val="en-US" w:eastAsia="zh-CN"/>
                    </w:rPr>
                    <w:t>万元</w:t>
                  </w:r>
                </w:p>
              </w:tc>
              <w:tc>
                <w:tcPr>
                  <w:tcW w:w="2795" w:type="dxa"/>
                  <w:noWrap w:val="0"/>
                  <w:vAlign w:val="center"/>
                </w:tcPr>
                <w:p w14:paraId="22D913E8">
                  <w:pPr>
                    <w:widowControl/>
                    <w:adjustRightInd w:val="0"/>
                    <w:snapToGrid w:val="0"/>
                    <w:rPr>
                      <w:rFonts w:hint="default" w:ascii="Times New Roman" w:hAnsi="Times New Roman" w:cs="Times New Roman"/>
                      <w:color w:val="auto"/>
                      <w:sz w:val="21"/>
                      <w:szCs w:val="21"/>
                      <w:vertAlign w:val="baseline"/>
                    </w:rPr>
                  </w:pPr>
                  <w:r>
                    <w:rPr>
                      <w:kern w:val="0"/>
                      <w:szCs w:val="21"/>
                    </w:rPr>
                    <w:t>设备基础减振、厂房隔声、距离衰减、加强夜间生产管理等。</w:t>
                  </w:r>
                </w:p>
              </w:tc>
              <w:tc>
                <w:tcPr>
                  <w:tcW w:w="1038" w:type="dxa"/>
                  <w:noWrap w:val="0"/>
                  <w:vAlign w:val="center"/>
                </w:tcPr>
                <w:p w14:paraId="01E7B2AE">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Arial" w:hAnsi="Arial" w:cs="Arial"/>
                      <w:i w:val="0"/>
                      <w:iCs w:val="0"/>
                      <w:color w:val="auto"/>
                      <w:kern w:val="0"/>
                      <w:sz w:val="21"/>
                      <w:szCs w:val="21"/>
                      <w:u w:val="none"/>
                      <w:lang w:val="en-US" w:eastAsia="zh-CN" w:bidi="ar"/>
                    </w:rPr>
                    <w:t>5</w:t>
                  </w:r>
                  <w:r>
                    <w:rPr>
                      <w:rFonts w:hint="eastAsia" w:cs="Times New Roman"/>
                      <w:color w:val="auto"/>
                      <w:sz w:val="21"/>
                      <w:szCs w:val="21"/>
                      <w:vertAlign w:val="baseline"/>
                      <w:lang w:val="en-US" w:eastAsia="zh-CN"/>
                    </w:rPr>
                    <w:t>万元</w:t>
                  </w:r>
                </w:p>
              </w:tc>
            </w:tr>
            <w:tr w14:paraId="7E81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continue"/>
                  <w:noWrap w:val="0"/>
                  <w:vAlign w:val="center"/>
                </w:tcPr>
                <w:p w14:paraId="1BD66B62">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cs="Times New Roman"/>
                      <w:color w:val="auto"/>
                      <w:sz w:val="21"/>
                      <w:szCs w:val="21"/>
                      <w:vertAlign w:val="baseline"/>
                      <w:lang w:val="en-US" w:eastAsia="zh-CN"/>
                    </w:rPr>
                  </w:pPr>
                </w:p>
              </w:tc>
              <w:tc>
                <w:tcPr>
                  <w:tcW w:w="977" w:type="dxa"/>
                  <w:noWrap w:val="0"/>
                  <w:vAlign w:val="center"/>
                </w:tcPr>
                <w:p w14:paraId="54AB149B">
                  <w:pPr>
                    <w:widowControl/>
                    <w:adjustRightInd w:val="0"/>
                    <w:snapToGrid w:val="0"/>
                    <w:jc w:val="center"/>
                    <w:rPr>
                      <w:rFonts w:hint="eastAsia" w:ascii="Arial" w:hAnsi="Arial" w:cs="Arial"/>
                      <w:i w:val="0"/>
                      <w:iCs w:val="0"/>
                      <w:color w:val="auto"/>
                      <w:kern w:val="0"/>
                      <w:sz w:val="21"/>
                      <w:szCs w:val="21"/>
                      <w:u w:val="none"/>
                      <w:lang w:val="en-US" w:eastAsia="zh-CN" w:bidi="ar"/>
                    </w:rPr>
                  </w:pPr>
                  <w:r>
                    <w:rPr>
                      <w:kern w:val="0"/>
                      <w:szCs w:val="21"/>
                    </w:rPr>
                    <w:t>交通噪声</w:t>
                  </w:r>
                </w:p>
              </w:tc>
              <w:tc>
                <w:tcPr>
                  <w:tcW w:w="2747" w:type="dxa"/>
                  <w:noWrap w:val="0"/>
                  <w:vAlign w:val="center"/>
                </w:tcPr>
                <w:p w14:paraId="58BE6FD2">
                  <w:pPr>
                    <w:widowControl/>
                    <w:adjustRightInd w:val="0"/>
                    <w:snapToGrid w:val="0"/>
                    <w:rPr>
                      <w:rFonts w:hint="eastAsia" w:ascii="Arial" w:hAnsi="Arial" w:cs="Arial"/>
                      <w:i w:val="0"/>
                      <w:iCs w:val="0"/>
                      <w:color w:val="auto"/>
                      <w:kern w:val="0"/>
                      <w:sz w:val="21"/>
                      <w:szCs w:val="21"/>
                      <w:u w:val="none"/>
                      <w:lang w:val="en-US" w:eastAsia="zh-CN" w:bidi="ar"/>
                    </w:rPr>
                  </w:pPr>
                  <w:r>
                    <w:rPr>
                      <w:kern w:val="0"/>
                      <w:szCs w:val="21"/>
                    </w:rPr>
                    <w:t>采取加强管理，合理布置运输路线措施。</w:t>
                  </w:r>
                </w:p>
              </w:tc>
              <w:tc>
                <w:tcPr>
                  <w:tcW w:w="912" w:type="dxa"/>
                  <w:noWrap w:val="0"/>
                  <w:vAlign w:val="center"/>
                </w:tcPr>
                <w:p w14:paraId="70C71D0B">
                  <w:pPr>
                    <w:keepNext w:val="0"/>
                    <w:keepLines w:val="0"/>
                    <w:widowControl/>
                    <w:suppressLineNumbers w:val="0"/>
                    <w:jc w:val="center"/>
                    <w:textAlignment w:val="center"/>
                    <w:rPr>
                      <w:rFonts w:hint="default" w:ascii="Arial" w:hAnsi="Arial" w:cs="Arial"/>
                      <w:i w:val="0"/>
                      <w:iCs w:val="0"/>
                      <w:color w:val="auto"/>
                      <w:kern w:val="0"/>
                      <w:sz w:val="21"/>
                      <w:szCs w:val="21"/>
                      <w:u w:val="none"/>
                      <w:lang w:val="en-US" w:eastAsia="zh-CN" w:bidi="ar"/>
                    </w:rPr>
                  </w:pPr>
                  <w:r>
                    <w:rPr>
                      <w:rFonts w:hint="eastAsia" w:ascii="Arial" w:hAnsi="Arial" w:cs="Arial"/>
                      <w:i w:val="0"/>
                      <w:iCs w:val="0"/>
                      <w:color w:val="auto"/>
                      <w:kern w:val="0"/>
                      <w:sz w:val="21"/>
                      <w:szCs w:val="21"/>
                      <w:u w:val="none"/>
                      <w:lang w:val="en-US" w:eastAsia="zh-CN" w:bidi="ar"/>
                    </w:rPr>
                    <w:t>1</w:t>
                  </w:r>
                  <w:r>
                    <w:rPr>
                      <w:rFonts w:hint="eastAsia" w:cs="Times New Roman"/>
                      <w:color w:val="auto"/>
                      <w:sz w:val="21"/>
                      <w:szCs w:val="21"/>
                      <w:vertAlign w:val="baseline"/>
                      <w:lang w:val="en-US" w:eastAsia="zh-CN"/>
                    </w:rPr>
                    <w:t>万元</w:t>
                  </w:r>
                </w:p>
              </w:tc>
              <w:tc>
                <w:tcPr>
                  <w:tcW w:w="2795" w:type="dxa"/>
                  <w:noWrap w:val="0"/>
                  <w:vAlign w:val="center"/>
                </w:tcPr>
                <w:p w14:paraId="44475012">
                  <w:pPr>
                    <w:widowControl/>
                    <w:adjustRightInd w:val="0"/>
                    <w:snapToGrid w:val="0"/>
                    <w:rPr>
                      <w:rFonts w:hint="eastAsia" w:ascii="Arial" w:hAnsi="Arial" w:cs="Arial"/>
                      <w:i w:val="0"/>
                      <w:iCs w:val="0"/>
                      <w:color w:val="auto"/>
                      <w:kern w:val="0"/>
                      <w:sz w:val="21"/>
                      <w:szCs w:val="21"/>
                      <w:u w:val="none"/>
                      <w:lang w:val="en-US" w:eastAsia="zh-CN" w:bidi="ar"/>
                    </w:rPr>
                  </w:pPr>
                  <w:r>
                    <w:rPr>
                      <w:kern w:val="0"/>
                      <w:szCs w:val="21"/>
                    </w:rPr>
                    <w:t>采取加强管理，合理布置运输路线措施。</w:t>
                  </w:r>
                </w:p>
              </w:tc>
              <w:tc>
                <w:tcPr>
                  <w:tcW w:w="1038" w:type="dxa"/>
                  <w:noWrap w:val="0"/>
                  <w:vAlign w:val="center"/>
                </w:tcPr>
                <w:p w14:paraId="713862A8">
                  <w:pPr>
                    <w:keepNext w:val="0"/>
                    <w:keepLines w:val="0"/>
                    <w:widowControl/>
                    <w:suppressLineNumbers w:val="0"/>
                    <w:jc w:val="center"/>
                    <w:textAlignment w:val="center"/>
                    <w:rPr>
                      <w:rFonts w:hint="eastAsia" w:cs="Times New Roman"/>
                      <w:color w:val="auto"/>
                      <w:sz w:val="21"/>
                      <w:szCs w:val="21"/>
                      <w:vertAlign w:val="baseline"/>
                      <w:lang w:val="en-US" w:eastAsia="zh-CN"/>
                    </w:rPr>
                  </w:pPr>
                  <w:r>
                    <w:rPr>
                      <w:rFonts w:hint="eastAsia" w:ascii="Arial" w:hAnsi="Arial" w:cs="Arial"/>
                      <w:i w:val="0"/>
                      <w:iCs w:val="0"/>
                      <w:color w:val="auto"/>
                      <w:kern w:val="0"/>
                      <w:sz w:val="21"/>
                      <w:szCs w:val="21"/>
                      <w:u w:val="none"/>
                      <w:lang w:val="en-US" w:eastAsia="zh-CN" w:bidi="ar"/>
                    </w:rPr>
                    <w:t>1</w:t>
                  </w:r>
                  <w:r>
                    <w:rPr>
                      <w:rFonts w:hint="eastAsia" w:cs="Times New Roman"/>
                      <w:color w:val="auto"/>
                      <w:sz w:val="21"/>
                      <w:szCs w:val="21"/>
                      <w:vertAlign w:val="baseline"/>
                      <w:lang w:val="en-US" w:eastAsia="zh-CN"/>
                    </w:rPr>
                    <w:t>万元</w:t>
                  </w:r>
                </w:p>
              </w:tc>
            </w:tr>
            <w:tr w14:paraId="4E0B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restart"/>
                  <w:noWrap w:val="0"/>
                  <w:vAlign w:val="center"/>
                </w:tcPr>
                <w:p w14:paraId="5966E1DB">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固废</w:t>
                  </w:r>
                </w:p>
              </w:tc>
              <w:tc>
                <w:tcPr>
                  <w:tcW w:w="977" w:type="dxa"/>
                  <w:noWrap w:val="0"/>
                  <w:vAlign w:val="center"/>
                </w:tcPr>
                <w:p w14:paraId="37C908C5">
                  <w:pPr>
                    <w:widowControl/>
                    <w:adjustRightInd w:val="0"/>
                    <w:snapToGrid w:val="0"/>
                    <w:jc w:val="center"/>
                    <w:rPr>
                      <w:rFonts w:hint="eastAsia" w:ascii="Times New Roman" w:hAnsi="Times New Roman" w:eastAsia="宋体" w:cs="Times New Roman"/>
                      <w:color w:val="auto"/>
                      <w:sz w:val="21"/>
                      <w:szCs w:val="21"/>
                      <w:vertAlign w:val="baseline"/>
                      <w:lang w:eastAsia="zh-CN"/>
                    </w:rPr>
                  </w:pPr>
                  <w:r>
                    <w:rPr>
                      <w:kern w:val="0"/>
                      <w:szCs w:val="21"/>
                    </w:rPr>
                    <w:t>危险废物</w:t>
                  </w:r>
                </w:p>
              </w:tc>
              <w:tc>
                <w:tcPr>
                  <w:tcW w:w="2747" w:type="dxa"/>
                  <w:noWrap w:val="0"/>
                  <w:vAlign w:val="center"/>
                </w:tcPr>
                <w:p w14:paraId="1375FC80">
                  <w:pPr>
                    <w:widowControl/>
                    <w:adjustRightInd w:val="0"/>
                    <w:snapToGrid w:val="0"/>
                    <w:rPr>
                      <w:rFonts w:hint="default" w:ascii="Times New Roman" w:hAnsi="Times New Roman" w:cs="Times New Roman"/>
                      <w:color w:val="auto"/>
                      <w:sz w:val="21"/>
                      <w:szCs w:val="21"/>
                      <w:vertAlign w:val="baseline"/>
                    </w:rPr>
                  </w:pPr>
                  <w:r>
                    <w:rPr>
                      <w:kern w:val="0"/>
                      <w:szCs w:val="21"/>
                    </w:rPr>
                    <w:t>废机油、废油桶、含油废抹布、废活性炭和废树脂等</w:t>
                  </w:r>
                  <w:r>
                    <w:rPr>
                      <w:kern w:val="0"/>
                      <w:szCs w:val="21"/>
                      <w:highlight w:val="none"/>
                    </w:rPr>
                    <w:t>暂存至危废间，</w:t>
                  </w:r>
                  <w:r>
                    <w:rPr>
                      <w:kern w:val="0"/>
                      <w:szCs w:val="21"/>
                    </w:rPr>
                    <w:t>交由危废资质单位处置。</w:t>
                  </w:r>
                </w:p>
              </w:tc>
              <w:tc>
                <w:tcPr>
                  <w:tcW w:w="912" w:type="dxa"/>
                  <w:noWrap w:val="0"/>
                  <w:vAlign w:val="center"/>
                </w:tcPr>
                <w:p w14:paraId="141F1321">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rPr>
                  </w:pPr>
                  <w:r>
                    <w:rPr>
                      <w:rFonts w:hint="eastAsia" w:ascii="Arial" w:hAnsi="Arial" w:cs="Arial"/>
                      <w:i w:val="0"/>
                      <w:iCs w:val="0"/>
                      <w:color w:val="auto"/>
                      <w:kern w:val="0"/>
                      <w:sz w:val="21"/>
                      <w:szCs w:val="21"/>
                      <w:u w:val="none"/>
                      <w:lang w:val="en-US" w:eastAsia="zh-CN" w:bidi="ar"/>
                    </w:rPr>
                    <w:t>2</w:t>
                  </w:r>
                  <w:r>
                    <w:rPr>
                      <w:rFonts w:hint="eastAsia"/>
                      <w:color w:val="auto"/>
                      <w:sz w:val="21"/>
                      <w:szCs w:val="21"/>
                      <w:lang w:val="en-US" w:eastAsia="zh-CN"/>
                    </w:rPr>
                    <w:t>万元</w:t>
                  </w:r>
                </w:p>
              </w:tc>
              <w:tc>
                <w:tcPr>
                  <w:tcW w:w="2795" w:type="dxa"/>
                  <w:noWrap w:val="0"/>
                  <w:vAlign w:val="center"/>
                </w:tcPr>
                <w:p w14:paraId="3E977A60">
                  <w:pPr>
                    <w:widowControl/>
                    <w:adjustRightInd w:val="0"/>
                    <w:snapToGrid w:val="0"/>
                    <w:rPr>
                      <w:rFonts w:hint="default" w:ascii="Times New Roman" w:hAnsi="Times New Roman" w:cs="Times New Roman"/>
                      <w:color w:val="auto"/>
                      <w:sz w:val="21"/>
                      <w:szCs w:val="21"/>
                      <w:vertAlign w:val="baseline"/>
                    </w:rPr>
                  </w:pPr>
                  <w:r>
                    <w:rPr>
                      <w:rFonts w:hint="eastAsia" w:ascii="Times New Roman" w:hAnsi="Times New Roman" w:eastAsia="宋体" w:cs="Times New Roman"/>
                      <w:kern w:val="0"/>
                      <w:szCs w:val="21"/>
                      <w:lang w:val="en-US" w:eastAsia="zh-CN"/>
                    </w:rPr>
                    <w:t>项目设备的维护保养由</w:t>
                  </w:r>
                  <w:r>
                    <w:rPr>
                      <w:rFonts w:hint="eastAsia" w:ascii="Times New Roman" w:hAnsi="Times New Roman" w:eastAsia="宋体" w:cs="Times New Roman"/>
                      <w:kern w:val="0"/>
                      <w:szCs w:val="21"/>
                      <w:lang w:eastAsia="zh-CN"/>
                    </w:rPr>
                    <w:t>青川县金扳手汽车维修有限公司</w:t>
                  </w:r>
                  <w:r>
                    <w:rPr>
                      <w:rFonts w:hint="eastAsia" w:ascii="Times New Roman" w:hAnsi="Times New Roman" w:eastAsia="宋体" w:cs="Times New Roman"/>
                      <w:kern w:val="0"/>
                      <w:szCs w:val="21"/>
                      <w:lang w:val="en-US" w:eastAsia="zh-CN"/>
                    </w:rPr>
                    <w:t>完成，机修过程中产生的少量</w:t>
                  </w:r>
                  <w:r>
                    <w:rPr>
                      <w:rFonts w:hint="eastAsia" w:cs="Times New Roman"/>
                      <w:kern w:val="0"/>
                      <w:szCs w:val="21"/>
                      <w:lang w:val="en-US" w:eastAsia="zh-CN"/>
                    </w:rPr>
                    <w:t>废机油</w:t>
                  </w:r>
                  <w:r>
                    <w:rPr>
                      <w:rFonts w:hint="eastAsia" w:ascii="Times New Roman" w:hAnsi="Times New Roman" w:eastAsia="宋体" w:cs="Times New Roman"/>
                      <w:kern w:val="0"/>
                      <w:szCs w:val="21"/>
                      <w:lang w:val="en-US" w:eastAsia="zh-CN"/>
                    </w:rPr>
                    <w:t>由</w:t>
                  </w:r>
                  <w:r>
                    <w:rPr>
                      <w:rFonts w:hint="eastAsia" w:ascii="Times New Roman" w:hAnsi="Times New Roman" w:eastAsia="宋体" w:cs="Times New Roman"/>
                      <w:kern w:val="0"/>
                      <w:szCs w:val="21"/>
                      <w:lang w:eastAsia="zh-CN"/>
                    </w:rPr>
                    <w:t>青川县金扳手汽车维修有限公司</w:t>
                  </w:r>
                  <w:r>
                    <w:rPr>
                      <w:rFonts w:hint="eastAsia" w:ascii="Times New Roman" w:hAnsi="Times New Roman" w:eastAsia="宋体" w:cs="Times New Roman"/>
                      <w:kern w:val="0"/>
                      <w:szCs w:val="21"/>
                      <w:lang w:val="en-US" w:eastAsia="zh-CN"/>
                    </w:rPr>
                    <w:t>带走，现场不设危废暂存间。</w:t>
                  </w:r>
                </w:p>
              </w:tc>
              <w:tc>
                <w:tcPr>
                  <w:tcW w:w="1038" w:type="dxa"/>
                  <w:noWrap w:val="0"/>
                  <w:vAlign w:val="center"/>
                </w:tcPr>
                <w:p w14:paraId="66C697FE">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color w:val="auto"/>
                      <w:sz w:val="21"/>
                      <w:szCs w:val="21"/>
                      <w:vertAlign w:val="baseline"/>
                      <w:lang w:val="en-US"/>
                    </w:rPr>
                  </w:pPr>
                  <w:r>
                    <w:rPr>
                      <w:rFonts w:hint="eastAsia" w:ascii="Arial" w:hAnsi="Arial" w:cs="Arial"/>
                      <w:i w:val="0"/>
                      <w:iCs w:val="0"/>
                      <w:color w:val="auto"/>
                      <w:kern w:val="0"/>
                      <w:sz w:val="21"/>
                      <w:szCs w:val="21"/>
                      <w:u w:val="none"/>
                      <w:lang w:val="en-US" w:eastAsia="zh-CN" w:bidi="ar"/>
                    </w:rPr>
                    <w:t>1</w:t>
                  </w:r>
                  <w:r>
                    <w:rPr>
                      <w:rFonts w:hint="eastAsia"/>
                      <w:color w:val="auto"/>
                      <w:sz w:val="21"/>
                      <w:szCs w:val="21"/>
                      <w:lang w:val="en-US" w:eastAsia="zh-CN"/>
                    </w:rPr>
                    <w:t>万元</w:t>
                  </w:r>
                </w:p>
              </w:tc>
            </w:tr>
            <w:tr w14:paraId="18E2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Merge w:val="continue"/>
                  <w:noWrap w:val="0"/>
                  <w:vAlign w:val="center"/>
                </w:tcPr>
                <w:p w14:paraId="5F9218C5">
                  <w:pPr>
                    <w:pStyle w:val="3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color w:val="auto"/>
                      <w:sz w:val="21"/>
                      <w:szCs w:val="21"/>
                      <w:vertAlign w:val="baseline"/>
                    </w:rPr>
                  </w:pPr>
                </w:p>
              </w:tc>
              <w:tc>
                <w:tcPr>
                  <w:tcW w:w="977" w:type="dxa"/>
                  <w:noWrap w:val="0"/>
                  <w:vAlign w:val="center"/>
                </w:tcPr>
                <w:p w14:paraId="726A4D17">
                  <w:pPr>
                    <w:widowControl/>
                    <w:adjustRightInd w:val="0"/>
                    <w:snapToGrid w:val="0"/>
                    <w:jc w:val="center"/>
                    <w:rPr>
                      <w:rFonts w:hint="default" w:ascii="Times New Roman" w:hAnsi="Times New Roman" w:cs="Times New Roman"/>
                      <w:color w:val="auto"/>
                      <w:sz w:val="21"/>
                      <w:szCs w:val="21"/>
                      <w:vertAlign w:val="baseline"/>
                    </w:rPr>
                  </w:pPr>
                  <w:r>
                    <w:rPr>
                      <w:kern w:val="0"/>
                      <w:szCs w:val="21"/>
                    </w:rPr>
                    <w:t>一般固废</w:t>
                  </w:r>
                </w:p>
              </w:tc>
              <w:tc>
                <w:tcPr>
                  <w:tcW w:w="2747" w:type="dxa"/>
                  <w:noWrap w:val="0"/>
                  <w:vAlign w:val="center"/>
                </w:tcPr>
                <w:p w14:paraId="242094F7">
                  <w:pPr>
                    <w:widowControl/>
                    <w:adjustRightInd w:val="0"/>
                    <w:snapToGrid w:val="0"/>
                    <w:rPr>
                      <w:rFonts w:hint="default" w:ascii="Times New Roman" w:hAnsi="Times New Roman" w:cs="Times New Roman"/>
                      <w:color w:val="auto"/>
                      <w:sz w:val="21"/>
                      <w:szCs w:val="21"/>
                      <w:vertAlign w:val="baseline"/>
                    </w:rPr>
                  </w:pPr>
                  <w:r>
                    <w:rPr>
                      <w:kern w:val="0"/>
                      <w:szCs w:val="21"/>
                    </w:rPr>
                    <w:t>废石和废渣等杂质、沼渣、污水处理站污泥经厂内分类袋装收集后交由青川县生活垃圾填埋厂统一清运并妥善处置；生活垃圾经分类袋装收集后交由当地环卫人员清运并进行妥善处置；废脱硫剂经袋装收集后由厂家定期更换回收处理。</w:t>
                  </w:r>
                </w:p>
              </w:tc>
              <w:tc>
                <w:tcPr>
                  <w:tcW w:w="912" w:type="dxa"/>
                  <w:noWrap w:val="0"/>
                  <w:vAlign w:val="center"/>
                </w:tcPr>
                <w:p w14:paraId="6800C348">
                  <w:pPr>
                    <w:keepNext w:val="0"/>
                    <w:keepLines w:val="0"/>
                    <w:widowControl/>
                    <w:suppressLineNumbers w:val="0"/>
                    <w:jc w:val="center"/>
                    <w:textAlignment w:val="center"/>
                    <w:rPr>
                      <w:rFonts w:hint="default" w:ascii="Times New Roman" w:hAnsi="Times New Roman" w:cs="Times New Roman"/>
                      <w:color w:val="auto"/>
                      <w:sz w:val="21"/>
                      <w:szCs w:val="21"/>
                      <w:vertAlign w:val="baseline"/>
                    </w:rPr>
                  </w:pPr>
                  <w:r>
                    <w:rPr>
                      <w:rFonts w:hint="eastAsia" w:ascii="Arial" w:hAnsi="Arial" w:cs="Arial"/>
                      <w:i w:val="0"/>
                      <w:iCs w:val="0"/>
                      <w:color w:val="auto"/>
                      <w:kern w:val="0"/>
                      <w:sz w:val="21"/>
                      <w:szCs w:val="21"/>
                      <w:u w:val="none"/>
                      <w:lang w:val="en-US" w:eastAsia="zh-CN" w:bidi="ar"/>
                    </w:rPr>
                    <w:t>3</w:t>
                  </w:r>
                  <w:r>
                    <w:rPr>
                      <w:rFonts w:hint="eastAsia" w:cs="Times New Roman"/>
                      <w:color w:val="auto"/>
                      <w:sz w:val="21"/>
                      <w:szCs w:val="21"/>
                      <w:vertAlign w:val="baseline"/>
                      <w:lang w:val="en-US" w:eastAsia="zh-CN"/>
                    </w:rPr>
                    <w:t>万元</w:t>
                  </w:r>
                </w:p>
              </w:tc>
              <w:tc>
                <w:tcPr>
                  <w:tcW w:w="2795" w:type="dxa"/>
                  <w:noWrap w:val="0"/>
                  <w:vAlign w:val="center"/>
                </w:tcPr>
                <w:p w14:paraId="7920EB01">
                  <w:pPr>
                    <w:widowControl/>
                    <w:adjustRightInd w:val="0"/>
                    <w:snapToGrid w:val="0"/>
                    <w:rPr>
                      <w:rFonts w:hint="default" w:ascii="Times New Roman" w:hAnsi="Times New Roman" w:cs="Times New Roman"/>
                      <w:color w:val="auto"/>
                      <w:sz w:val="21"/>
                      <w:szCs w:val="21"/>
                      <w:vertAlign w:val="baseline"/>
                    </w:rPr>
                  </w:pPr>
                  <w:r>
                    <w:rPr>
                      <w:kern w:val="0"/>
                      <w:szCs w:val="21"/>
                    </w:rPr>
                    <w:t>废石和废渣等杂质、沼渣、污水处理站污泥经厂内分类袋装收集后交由青川县生活垃圾填埋厂统一清运并妥善处置；生活垃圾经分类袋装收集后交由当地环卫人员清运并进行妥善处置；废脱硫剂经袋装收集后由厂家定期更换回收处理。</w:t>
                  </w:r>
                </w:p>
              </w:tc>
              <w:tc>
                <w:tcPr>
                  <w:tcW w:w="1038" w:type="dxa"/>
                  <w:noWrap w:val="0"/>
                  <w:vAlign w:val="center"/>
                </w:tcPr>
                <w:p w14:paraId="4A7E8A0C">
                  <w:pPr>
                    <w:bidi w:val="0"/>
                    <w:jc w:val="center"/>
                    <w:rPr>
                      <w:rFonts w:hint="default" w:eastAsia="宋体"/>
                      <w:color w:val="auto"/>
                      <w:sz w:val="21"/>
                      <w:szCs w:val="21"/>
                      <w:lang w:val="en-US" w:eastAsia="zh-CN"/>
                    </w:rPr>
                  </w:pPr>
                  <w:r>
                    <w:rPr>
                      <w:rFonts w:hint="eastAsia"/>
                      <w:color w:val="auto"/>
                      <w:sz w:val="21"/>
                      <w:szCs w:val="21"/>
                      <w:lang w:val="en-US" w:eastAsia="zh-CN"/>
                    </w:rPr>
                    <w:t>3</w:t>
                  </w:r>
                  <w:r>
                    <w:rPr>
                      <w:rFonts w:hint="eastAsia" w:cs="Times New Roman"/>
                      <w:color w:val="auto"/>
                      <w:sz w:val="21"/>
                      <w:szCs w:val="21"/>
                      <w:vertAlign w:val="baseline"/>
                      <w:lang w:val="en-US" w:eastAsia="zh-CN"/>
                    </w:rPr>
                    <w:t>万元</w:t>
                  </w:r>
                </w:p>
              </w:tc>
            </w:tr>
            <w:tr w14:paraId="6CC6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5" w:type="dxa"/>
                  <w:gridSpan w:val="2"/>
                  <w:noWrap w:val="0"/>
                  <w:vAlign w:val="center"/>
                </w:tcPr>
                <w:p w14:paraId="74D760DC">
                  <w:pPr>
                    <w:widowControl/>
                    <w:adjustRightInd w:val="0"/>
                    <w:snapToGrid w:val="0"/>
                    <w:jc w:val="center"/>
                    <w:rPr>
                      <w:rFonts w:hint="eastAsia" w:cs="Times New Roman"/>
                      <w:color w:val="auto"/>
                      <w:sz w:val="21"/>
                      <w:szCs w:val="21"/>
                      <w:vertAlign w:val="baseline"/>
                      <w:lang w:val="en-US" w:eastAsia="zh-CN"/>
                    </w:rPr>
                  </w:pPr>
                  <w:r>
                    <w:rPr>
                      <w:kern w:val="0"/>
                      <w:szCs w:val="21"/>
                    </w:rPr>
                    <w:t>环境风险</w:t>
                  </w:r>
                </w:p>
              </w:tc>
              <w:tc>
                <w:tcPr>
                  <w:tcW w:w="2747" w:type="dxa"/>
                  <w:noWrap w:val="0"/>
                  <w:vAlign w:val="center"/>
                </w:tcPr>
                <w:p w14:paraId="4D32CCEA">
                  <w:pPr>
                    <w:widowControl/>
                    <w:adjustRightInd w:val="0"/>
                    <w:snapToGrid w:val="0"/>
                    <w:rPr>
                      <w:rFonts w:hint="eastAsia" w:ascii="Arial" w:hAnsi="Arial" w:cs="Arial"/>
                      <w:i w:val="0"/>
                      <w:iCs w:val="0"/>
                      <w:color w:val="auto"/>
                      <w:kern w:val="0"/>
                      <w:sz w:val="21"/>
                      <w:szCs w:val="21"/>
                      <w:u w:val="none"/>
                      <w:lang w:val="en-US" w:eastAsia="zh-CN" w:bidi="ar"/>
                    </w:rPr>
                  </w:pPr>
                  <w:r>
                    <w:rPr>
                      <w:kern w:val="0"/>
                      <w:szCs w:val="21"/>
                    </w:rPr>
                    <w:t>安装沼气探测器、泄漏报警装置；厌氧罐、沼液暂存罐、粗油脂储罐四周设防渗围堰。设置事故废水池（罐）。</w:t>
                  </w:r>
                </w:p>
              </w:tc>
              <w:tc>
                <w:tcPr>
                  <w:tcW w:w="912" w:type="dxa"/>
                  <w:noWrap w:val="0"/>
                  <w:vAlign w:val="center"/>
                </w:tcPr>
                <w:p w14:paraId="52BA1FDD">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i w:val="0"/>
                      <w:iCs w:val="0"/>
                      <w:color w:val="auto"/>
                      <w:kern w:val="0"/>
                      <w:sz w:val="21"/>
                      <w:szCs w:val="21"/>
                      <w:u w:val="none"/>
                      <w:lang w:val="en-US" w:eastAsia="zh-CN" w:bidi="ar"/>
                    </w:rPr>
                  </w:pPr>
                  <w:r>
                    <w:rPr>
                      <w:rFonts w:hint="eastAsia" w:ascii="Arial" w:hAnsi="Arial" w:cs="Arial"/>
                      <w:i w:val="0"/>
                      <w:iCs w:val="0"/>
                      <w:color w:val="auto"/>
                      <w:kern w:val="0"/>
                      <w:sz w:val="21"/>
                      <w:szCs w:val="21"/>
                      <w:u w:val="none"/>
                      <w:lang w:val="en-US" w:eastAsia="zh-CN" w:bidi="ar"/>
                    </w:rPr>
                    <w:t>5</w:t>
                  </w:r>
                  <w:r>
                    <w:rPr>
                      <w:rFonts w:hint="eastAsia"/>
                      <w:color w:val="auto"/>
                      <w:sz w:val="21"/>
                      <w:szCs w:val="21"/>
                      <w:lang w:val="en-US" w:eastAsia="zh-CN"/>
                    </w:rPr>
                    <w:t>万元</w:t>
                  </w:r>
                </w:p>
              </w:tc>
              <w:tc>
                <w:tcPr>
                  <w:tcW w:w="2795" w:type="dxa"/>
                  <w:noWrap w:val="0"/>
                  <w:vAlign w:val="center"/>
                </w:tcPr>
                <w:p w14:paraId="42F38C31">
                  <w:pPr>
                    <w:widowControl/>
                    <w:adjustRightInd w:val="0"/>
                    <w:snapToGrid w:val="0"/>
                    <w:rPr>
                      <w:rFonts w:hint="eastAsia" w:ascii="Arial" w:hAnsi="Arial" w:cs="Arial"/>
                      <w:i w:val="0"/>
                      <w:iCs w:val="0"/>
                      <w:color w:val="auto"/>
                      <w:kern w:val="0"/>
                      <w:sz w:val="21"/>
                      <w:szCs w:val="21"/>
                      <w:u w:val="none"/>
                      <w:lang w:val="en-US" w:eastAsia="zh-CN" w:bidi="ar"/>
                    </w:rPr>
                  </w:pPr>
                  <w:r>
                    <w:rPr>
                      <w:kern w:val="0"/>
                      <w:szCs w:val="21"/>
                    </w:rPr>
                    <w:t>安装沼气探测器、泄漏报警装置；厌氧罐、沼液暂存罐、粗油脂储罐四周设防渗围堰。设置事故废水池（罐）。</w:t>
                  </w:r>
                </w:p>
              </w:tc>
              <w:tc>
                <w:tcPr>
                  <w:tcW w:w="1038" w:type="dxa"/>
                  <w:noWrap w:val="0"/>
                  <w:vAlign w:val="center"/>
                </w:tcPr>
                <w:p w14:paraId="4D28A941">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Arial" w:hAnsi="Arial" w:cs="Arial"/>
                      <w:i w:val="0"/>
                      <w:iCs w:val="0"/>
                      <w:color w:val="auto"/>
                      <w:kern w:val="0"/>
                      <w:sz w:val="21"/>
                      <w:szCs w:val="21"/>
                      <w:u w:val="none"/>
                      <w:lang w:val="en-US" w:eastAsia="zh-CN" w:bidi="ar"/>
                    </w:rPr>
                  </w:pPr>
                  <w:r>
                    <w:rPr>
                      <w:rFonts w:hint="eastAsia" w:ascii="Arial" w:hAnsi="Arial" w:cs="Arial"/>
                      <w:i w:val="0"/>
                      <w:iCs w:val="0"/>
                      <w:color w:val="auto"/>
                      <w:kern w:val="0"/>
                      <w:sz w:val="21"/>
                      <w:szCs w:val="21"/>
                      <w:u w:val="none"/>
                      <w:lang w:val="en-US" w:eastAsia="zh-CN" w:bidi="ar"/>
                    </w:rPr>
                    <w:t>5</w:t>
                  </w:r>
                  <w:r>
                    <w:rPr>
                      <w:rFonts w:hint="eastAsia"/>
                      <w:color w:val="auto"/>
                      <w:sz w:val="21"/>
                      <w:szCs w:val="21"/>
                      <w:lang w:val="en-US" w:eastAsia="zh-CN"/>
                    </w:rPr>
                    <w:t>万元</w:t>
                  </w:r>
                </w:p>
              </w:tc>
            </w:tr>
            <w:tr w14:paraId="3270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5" w:type="dxa"/>
                  <w:gridSpan w:val="2"/>
                  <w:noWrap w:val="0"/>
                  <w:vAlign w:val="center"/>
                </w:tcPr>
                <w:p w14:paraId="1B5B7B13">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总计</w:t>
                  </w:r>
                </w:p>
              </w:tc>
              <w:tc>
                <w:tcPr>
                  <w:tcW w:w="3659" w:type="dxa"/>
                  <w:gridSpan w:val="2"/>
                  <w:noWrap w:val="0"/>
                  <w:vAlign w:val="center"/>
                </w:tcPr>
                <w:p w14:paraId="64C0A3B2">
                  <w:pPr>
                    <w:pStyle w:val="3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color w:val="auto"/>
                      <w:sz w:val="21"/>
                      <w:szCs w:val="21"/>
                      <w:vertAlign w:val="baseline"/>
                      <w:lang w:val="en-US"/>
                    </w:rPr>
                  </w:pPr>
                  <w:r>
                    <w:rPr>
                      <w:rFonts w:hint="eastAsia" w:cs="Times New Roman"/>
                      <w:color w:val="auto"/>
                      <w:sz w:val="21"/>
                      <w:szCs w:val="21"/>
                      <w:vertAlign w:val="baseline"/>
                      <w:lang w:val="en-US" w:eastAsia="zh-CN"/>
                    </w:rPr>
                    <w:t>89万元</w:t>
                  </w:r>
                </w:p>
              </w:tc>
              <w:tc>
                <w:tcPr>
                  <w:tcW w:w="3833" w:type="dxa"/>
                  <w:gridSpan w:val="2"/>
                  <w:noWrap w:val="0"/>
                  <w:vAlign w:val="center"/>
                </w:tcPr>
                <w:p w14:paraId="14E97125">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87万元</w:t>
                  </w:r>
                </w:p>
              </w:tc>
            </w:tr>
          </w:tbl>
          <w:p w14:paraId="75E3F9D6">
            <w:pPr>
              <w:pStyle w:val="3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rPr>
            </w:pPr>
          </w:p>
          <w:p w14:paraId="7BEADF3A">
            <w:pPr>
              <w:rPr>
                <w:rFonts w:hint="default" w:ascii="Times New Roman" w:hAnsi="Times New Roman" w:cs="Times New Roman"/>
                <w:color w:val="auto"/>
                <w:sz w:val="24"/>
                <w:szCs w:val="24"/>
              </w:rPr>
            </w:pPr>
          </w:p>
          <w:p w14:paraId="42FCA8FF">
            <w:pPr>
              <w:rPr>
                <w:rFonts w:hint="default" w:ascii="Times New Roman" w:hAnsi="Times New Roman" w:cs="Times New Roman"/>
                <w:color w:val="auto"/>
                <w:sz w:val="24"/>
                <w:szCs w:val="24"/>
              </w:rPr>
            </w:pPr>
          </w:p>
          <w:p w14:paraId="0C10FA96">
            <w:pPr>
              <w:rPr>
                <w:rFonts w:hint="default" w:ascii="Times New Roman" w:hAnsi="Times New Roman" w:cs="Times New Roman"/>
                <w:color w:val="auto"/>
                <w:sz w:val="24"/>
                <w:szCs w:val="24"/>
              </w:rPr>
            </w:pPr>
          </w:p>
          <w:p w14:paraId="4198DC44">
            <w:pPr>
              <w:rPr>
                <w:rFonts w:hint="default" w:ascii="Times New Roman" w:hAnsi="Times New Roman" w:cs="Times New Roman"/>
                <w:color w:val="auto"/>
                <w:sz w:val="24"/>
                <w:szCs w:val="24"/>
              </w:rPr>
            </w:pPr>
          </w:p>
          <w:p w14:paraId="149935DB">
            <w:pPr>
              <w:rPr>
                <w:rFonts w:hint="default" w:ascii="Times New Roman" w:hAnsi="Times New Roman" w:cs="Times New Roman"/>
                <w:color w:val="auto"/>
                <w:sz w:val="24"/>
                <w:szCs w:val="24"/>
              </w:rPr>
            </w:pPr>
          </w:p>
          <w:p w14:paraId="75E9FCF7">
            <w:pPr>
              <w:rPr>
                <w:rFonts w:hint="default" w:ascii="Times New Roman" w:hAnsi="Times New Roman" w:cs="Times New Roman"/>
                <w:color w:val="auto"/>
                <w:sz w:val="24"/>
                <w:szCs w:val="24"/>
              </w:rPr>
            </w:pPr>
          </w:p>
          <w:p w14:paraId="18792316">
            <w:pPr>
              <w:rPr>
                <w:rFonts w:hint="default" w:ascii="Times New Roman" w:hAnsi="Times New Roman" w:cs="Times New Roman"/>
                <w:color w:val="auto"/>
                <w:sz w:val="24"/>
                <w:szCs w:val="24"/>
              </w:rPr>
            </w:pPr>
          </w:p>
          <w:p w14:paraId="1D5E30DA">
            <w:pPr>
              <w:rPr>
                <w:rFonts w:hint="default" w:ascii="Times New Roman" w:hAnsi="Times New Roman" w:cs="Times New Roman"/>
                <w:color w:val="auto"/>
                <w:sz w:val="24"/>
                <w:szCs w:val="24"/>
              </w:rPr>
            </w:pPr>
          </w:p>
          <w:p w14:paraId="157B1889">
            <w:pPr>
              <w:rPr>
                <w:rFonts w:hint="default" w:ascii="Times New Roman" w:hAnsi="Times New Roman" w:cs="Times New Roman"/>
                <w:color w:val="auto"/>
                <w:sz w:val="24"/>
                <w:szCs w:val="24"/>
              </w:rPr>
            </w:pPr>
          </w:p>
        </w:tc>
      </w:tr>
    </w:tbl>
    <w:p w14:paraId="59EEAAF6">
      <w:pPr>
        <w:pStyle w:val="3"/>
        <w:numPr>
          <w:ilvl w:val="0"/>
          <w:numId w:val="0"/>
        </w:numPr>
        <w:spacing w:before="120" w:after="120"/>
        <w:rPr>
          <w:rFonts w:hint="default" w:ascii="Times New Roman" w:hAnsi="Times New Roman" w:cs="Times New Roman"/>
          <w:color w:val="auto"/>
          <w:sz w:val="21"/>
          <w:szCs w:val="21"/>
        </w:rPr>
      </w:pPr>
      <w:bookmarkStart w:id="16" w:name="_Toc23993_WPSOffice_Level1"/>
      <w:bookmarkStart w:id="17" w:name="_Toc16783"/>
      <w:bookmarkStart w:id="18" w:name="_Toc8268_WPSOffice_Level1"/>
      <w:bookmarkStart w:id="19" w:name="_Toc29000"/>
      <w:bookmarkStart w:id="20" w:name="_Toc3166"/>
      <w:r>
        <w:rPr>
          <w:rFonts w:hint="default" w:ascii="Times New Roman" w:hAnsi="Times New Roman" w:cs="Times New Roman"/>
          <w:color w:val="auto"/>
          <w:szCs w:val="28"/>
        </w:rPr>
        <w:t>表四  环境影响报告表主要结论及审批部门审批决定</w:t>
      </w:r>
      <w:bookmarkEnd w:id="16"/>
      <w:bookmarkEnd w:id="17"/>
      <w:bookmarkEnd w:id="18"/>
      <w:bookmarkEnd w:id="19"/>
      <w:bookmarkEnd w:id="20"/>
      <w:r>
        <w:rPr>
          <w:rFonts w:hint="default" w:ascii="Times New Roman" w:hAnsi="Times New Roman" w:cs="Times New Roman"/>
          <w:color w:val="auto"/>
          <w:sz w:val="30"/>
          <w:szCs w:val="30"/>
        </w:rPr>
        <w:t xml:space="preserve"> </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4"/>
      </w:tblGrid>
      <w:tr w14:paraId="2E5B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9714" w:type="dxa"/>
            <w:noWrap w:val="0"/>
            <w:vAlign w:val="top"/>
          </w:tcPr>
          <w:p w14:paraId="6306DA66">
            <w:pPr>
              <w:keepNext w:val="0"/>
              <w:keepLines w:val="0"/>
              <w:pageBreakBefore w:val="0"/>
              <w:widowControl w:val="0"/>
              <w:numPr>
                <w:ilvl w:val="0"/>
                <w:numId w:val="0"/>
              </w:numPr>
              <w:kinsoku/>
              <w:wordWrap/>
              <w:overflowPunct/>
              <w:topLinePunct w:val="0"/>
              <w:autoSpaceDE/>
              <w:autoSpaceDN/>
              <w:bidi w:val="0"/>
              <w:adjustRightInd/>
              <w:snapToGrid/>
              <w:spacing w:before="181" w:beforeLines="50" w:after="181" w:afterLines="50" w:line="400" w:lineRule="exact"/>
              <w:jc w:val="left"/>
              <w:textAlignment w:val="auto"/>
              <w:rPr>
                <w:rFonts w:hint="eastAsia" w:eastAsia="宋体"/>
                <w:b/>
                <w:bCs/>
                <w:color w:val="000000"/>
                <w:sz w:val="28"/>
                <w:szCs w:val="28"/>
                <w:lang w:val="en-US" w:eastAsia="zh-CN"/>
              </w:rPr>
            </w:pPr>
            <w:r>
              <w:rPr>
                <w:rFonts w:hint="eastAsia"/>
                <w:b/>
                <w:bCs/>
                <w:color w:val="000000"/>
                <w:sz w:val="28"/>
                <w:szCs w:val="28"/>
                <w:lang w:eastAsia="zh-CN"/>
              </w:rPr>
              <w:t>（</w:t>
            </w:r>
            <w:r>
              <w:rPr>
                <w:rFonts w:hint="eastAsia"/>
                <w:b/>
                <w:bCs/>
                <w:color w:val="000000"/>
                <w:sz w:val="28"/>
                <w:szCs w:val="28"/>
                <w:lang w:val="en-US" w:eastAsia="zh-CN"/>
              </w:rPr>
              <w:t>一</w:t>
            </w:r>
            <w:r>
              <w:rPr>
                <w:rFonts w:hint="eastAsia"/>
                <w:b/>
                <w:bCs/>
                <w:color w:val="000000"/>
                <w:sz w:val="28"/>
                <w:szCs w:val="28"/>
                <w:lang w:eastAsia="zh-CN"/>
              </w:rPr>
              <w:t>）</w:t>
            </w:r>
            <w:r>
              <w:rPr>
                <w:rFonts w:hint="default"/>
                <w:b/>
                <w:bCs/>
                <w:color w:val="000000"/>
                <w:sz w:val="28"/>
                <w:szCs w:val="28"/>
              </w:rPr>
              <w:t>建设项目环境影响报告表主要结论</w:t>
            </w:r>
          </w:p>
          <w:p w14:paraId="40F207FC">
            <w:pPr>
              <w:spacing w:before="120" w:beforeLines="50" w:line="360" w:lineRule="auto"/>
              <w:ind w:firstLine="480" w:firstLineChars="200"/>
              <w:rPr>
                <w:sz w:val="24"/>
              </w:rPr>
            </w:pPr>
            <w:r>
              <w:rPr>
                <w:rFonts w:hint="eastAsia"/>
                <w:sz w:val="24"/>
              </w:rPr>
              <w:t>本项目符合产业政策，符合相关规划，选址基本合理，在完成环评提出的废气、废水、噪声、固废、土壤、地下水、环境风险等措施之后，污染物能够达标排放，环境风险可控，项目对周围环境的影响较小。</w:t>
            </w:r>
          </w:p>
          <w:p w14:paraId="622C7756">
            <w:pPr>
              <w:pStyle w:val="90"/>
              <w:spacing w:line="360" w:lineRule="auto"/>
              <w:ind w:firstLine="480" w:firstLineChars="200"/>
              <w:rPr>
                <w:sz w:val="24"/>
                <w:szCs w:val="24"/>
              </w:rPr>
            </w:pPr>
            <w:r>
              <w:rPr>
                <w:rFonts w:hint="eastAsia"/>
                <w:sz w:val="24"/>
              </w:rPr>
              <w:t>从环境保护角度出发，本项目对周围环境影响可以接受，项目建设可行。</w:t>
            </w:r>
          </w:p>
          <w:p w14:paraId="595EDA92">
            <w:pPr>
              <w:pStyle w:val="32"/>
              <w:keepNext w:val="0"/>
              <w:keepLines w:val="0"/>
              <w:pageBreakBefore w:val="0"/>
              <w:widowControl w:val="0"/>
              <w:numPr>
                <w:ilvl w:val="0"/>
                <w:numId w:val="0"/>
              </w:numPr>
              <w:kinsoku/>
              <w:wordWrap/>
              <w:overflowPunct/>
              <w:topLinePunct w:val="0"/>
              <w:autoSpaceDE/>
              <w:autoSpaceDN/>
              <w:bidi w:val="0"/>
              <w:adjustRightInd/>
              <w:snapToGrid/>
              <w:spacing w:before="181" w:beforeLines="50" w:after="181" w:afterLines="50" w:line="400" w:lineRule="exact"/>
              <w:textAlignment w:val="auto"/>
              <w:rPr>
                <w:rFonts w:hint="default" w:ascii="Times New Roman" w:hAnsi="Times New Roman" w:cs="Times New Roman"/>
                <w:color w:val="auto"/>
                <w:sz w:val="24"/>
                <w:szCs w:val="24"/>
                <w:lang w:eastAsia="zh-CN"/>
              </w:rPr>
            </w:pPr>
            <w:r>
              <w:rPr>
                <w:rFonts w:hint="default" w:ascii="Times New Roman" w:hAnsi="Times New Roman" w:cs="Times New Roman"/>
                <w:b/>
                <w:bCs/>
                <w:color w:val="auto"/>
                <w:sz w:val="28"/>
                <w:szCs w:val="28"/>
              </w:rPr>
              <w:t>（二）审批部门审批决定</w:t>
            </w:r>
            <w:r>
              <w:rPr>
                <w:rFonts w:hint="eastAsia" w:ascii="Times New Roman" w:hAnsi="Times New Roman" w:cs="Times New Roman"/>
                <w:b/>
                <w:bCs/>
                <w:color w:val="auto"/>
                <w:sz w:val="28"/>
                <w:szCs w:val="28"/>
                <w:lang w:eastAsia="zh-CN"/>
              </w:rPr>
              <w:t>（</w:t>
            </w:r>
            <w:r>
              <w:rPr>
                <w:rFonts w:hint="eastAsia" w:cs="Times New Roman"/>
                <w:b/>
                <w:bCs/>
                <w:color w:val="auto"/>
                <w:sz w:val="28"/>
                <w:szCs w:val="28"/>
                <w:lang w:eastAsia="zh-CN"/>
              </w:rPr>
              <w:t>广青环审</w:t>
            </w:r>
            <w:r>
              <w:rPr>
                <w:rFonts w:hint="eastAsia" w:ascii="Times New Roman" w:hAnsi="Times New Roman" w:cs="Times New Roman"/>
                <w:b/>
                <w:bCs/>
                <w:color w:val="auto"/>
                <w:sz w:val="28"/>
                <w:szCs w:val="28"/>
                <w:lang w:val="en-US" w:eastAsia="zh-CN"/>
              </w:rPr>
              <w:t>[20</w:t>
            </w:r>
            <w:r>
              <w:rPr>
                <w:rFonts w:hint="eastAsia" w:cs="Times New Roman"/>
                <w:b/>
                <w:bCs/>
                <w:color w:val="auto"/>
                <w:sz w:val="28"/>
                <w:szCs w:val="28"/>
                <w:lang w:val="en-US" w:eastAsia="zh-CN"/>
              </w:rPr>
              <w:t>24</w:t>
            </w:r>
            <w:r>
              <w:rPr>
                <w:rFonts w:hint="eastAsia" w:ascii="Times New Roman" w:hAnsi="Times New Roman" w:cs="Times New Roman"/>
                <w:b/>
                <w:bCs/>
                <w:color w:val="auto"/>
                <w:sz w:val="28"/>
                <w:szCs w:val="28"/>
                <w:lang w:val="en-US" w:eastAsia="zh-CN"/>
              </w:rPr>
              <w:t>]</w:t>
            </w:r>
            <w:r>
              <w:rPr>
                <w:rFonts w:hint="eastAsia" w:cs="Times New Roman"/>
                <w:b/>
                <w:bCs/>
                <w:color w:val="auto"/>
                <w:sz w:val="28"/>
                <w:szCs w:val="28"/>
                <w:lang w:val="en-US" w:eastAsia="zh-CN"/>
              </w:rPr>
              <w:t>3</w:t>
            </w:r>
            <w:r>
              <w:rPr>
                <w:rFonts w:hint="eastAsia" w:ascii="Times New Roman" w:hAnsi="Times New Roman" w:cs="Times New Roman"/>
                <w:b/>
                <w:bCs/>
                <w:color w:val="auto"/>
                <w:sz w:val="28"/>
                <w:szCs w:val="28"/>
                <w:lang w:val="en-US" w:eastAsia="zh-CN"/>
              </w:rPr>
              <w:t>号</w:t>
            </w:r>
            <w:r>
              <w:rPr>
                <w:rFonts w:hint="eastAsia" w:ascii="Times New Roman" w:hAnsi="Times New Roman" w:cs="Times New Roman"/>
                <w:b/>
                <w:bCs/>
                <w:color w:val="auto"/>
                <w:sz w:val="28"/>
                <w:szCs w:val="28"/>
                <w:lang w:eastAsia="zh-CN"/>
              </w:rPr>
              <w:t>）</w:t>
            </w:r>
          </w:p>
          <w:p w14:paraId="583D6736">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rPr>
            </w:pPr>
            <w:r>
              <w:rPr>
                <w:rFonts w:hint="eastAsia" w:ascii="宋体" w:hAnsi="宋体" w:eastAsia="宋体" w:cs="宋体"/>
                <w:sz w:val="24"/>
                <w:szCs w:val="24"/>
              </w:rPr>
              <w:t>广元伟利森环保工程有限公司:</w:t>
            </w:r>
          </w:p>
          <w:p w14:paraId="05B1FE75">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你公司报送的《青川县餐厨垃圾无害化处理、资源化利用项目环境影响报告表》(以下简称《报告表》)和相关附件收悉。根据国家环境保护法律、法规和《报告表》评价结论。</w:t>
            </w:r>
          </w:p>
          <w:p w14:paraId="0EBC6473">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rPr>
            </w:pPr>
            <w:r>
              <w:rPr>
                <w:rFonts w:hint="eastAsia" w:ascii="宋体" w:hAnsi="宋体" w:eastAsia="宋体" w:cs="宋体"/>
                <w:sz w:val="24"/>
                <w:szCs w:val="24"/>
              </w:rPr>
              <w:t>经我局研究，现批复如下。</w:t>
            </w:r>
          </w:p>
          <w:p w14:paraId="62D68C10">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rPr>
            </w:pPr>
            <w:r>
              <w:rPr>
                <w:rFonts w:hint="eastAsia" w:ascii="宋体" w:hAnsi="宋体" w:eastAsia="宋体" w:cs="宋体"/>
                <w:sz w:val="24"/>
                <w:szCs w:val="24"/>
              </w:rPr>
              <w:t>一、项目主要建设内容及规模为:拟投资1281万元，新建日处理能力 20吨的餐厨垃圾处理车间1座，采用“预处理+湿式中温厌氧发酵+生物质气体能源化利用”的技术路线，建设餐厨垃圾预处理系统、厌氧发酵和沼气净化系统、沼气利用系统、臭气处理系统、废水处理系统等;配套办公楼1栋，配套附属用房1座，门卫室1座,消防水池1座及相关配套设施设备。</w:t>
            </w:r>
          </w:p>
          <w:p w14:paraId="6E26780B">
            <w:pPr>
              <w:pStyle w:val="32"/>
              <w:numPr>
                <w:ilvl w:val="0"/>
                <w:numId w:val="0"/>
              </w:numPr>
              <w:spacing w:after="0" w:line="360" w:lineRule="auto"/>
              <w:rPr>
                <w:rFonts w:hint="eastAsia" w:ascii="宋体" w:hAnsi="宋体" w:eastAsia="宋体" w:cs="宋体"/>
                <w:sz w:val="24"/>
                <w:szCs w:val="24"/>
              </w:rPr>
            </w:pPr>
            <w:r>
              <w:rPr>
                <w:rFonts w:hint="eastAsia" w:ascii="宋体" w:hAnsi="宋体" w:eastAsia="宋体" w:cs="宋体"/>
                <w:sz w:val="24"/>
                <w:szCs w:val="24"/>
              </w:rPr>
              <w:t>在落实《报告表》提出的环境保护措施后，对外环境的影响可减轻。综上，从环保角度分析，该项目环境风险可控，经批复后的《报告表》可作为该项目日常环境保护管理依据。</w:t>
            </w:r>
          </w:p>
          <w:p w14:paraId="33F34FDF">
            <w:pPr>
              <w:pStyle w:val="32"/>
              <w:numPr>
                <w:ilvl w:val="0"/>
                <w:numId w:val="0"/>
              </w:numPr>
              <w:spacing w:after="0" w:line="360" w:lineRule="auto"/>
              <w:rPr>
                <w:rFonts w:hint="eastAsia" w:ascii="宋体" w:hAnsi="宋体" w:eastAsia="宋体" w:cs="宋体"/>
                <w:sz w:val="24"/>
                <w:szCs w:val="24"/>
              </w:rPr>
            </w:pPr>
            <w:r>
              <w:rPr>
                <w:rFonts w:hint="eastAsia" w:ascii="宋体" w:hAnsi="宋体" w:eastAsia="宋体" w:cs="宋体"/>
                <w:sz w:val="24"/>
                <w:szCs w:val="24"/>
              </w:rPr>
              <w:t>二、在设计、建设和投入使用过程中，你公司应逐项落实《报告表》中提出的各项环保措施，健全各项污染防治设施，减轻对周围环境影响。并须着重做好以下工作:</w:t>
            </w:r>
          </w:p>
          <w:p w14:paraId="1A6461E1">
            <w:pPr>
              <w:pStyle w:val="32"/>
              <w:numPr>
                <w:ilvl w:val="0"/>
                <w:numId w:val="0"/>
              </w:numPr>
              <w:spacing w:after="0"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一)严格落实《报告表》中提出的大气污染防治措施。加装集气罩收集臭气，对车间作业区全封闭，设置二道封闭措施，室内采用负压运行，臭气由风机引至碱洗喷淋塔+生物吸附床处理后经15m高的排气筒排放;接料废气采用植物提取液(恶臭抑制剂)高压喷雾脱臭装置定期喷淋除臭后与餐厨垃圾处理间负压抽气系统联合使用;厌氧发酵区废气设1套沼气净化系统+沼气利用系统+紧急火炬处理;污水处理站全密闭设计，由于本项目污水处理设计工艺为厌氧工艺，仅缓慢产生少量臭气，要求在污水处理站附近增加绿植覆盖处理;热水炉燃烧废气经15m排气筒排放。</w:t>
            </w:r>
          </w:p>
          <w:p w14:paraId="14B39032">
            <w:pPr>
              <w:pStyle w:val="32"/>
              <w:numPr>
                <w:ilvl w:val="0"/>
                <w:numId w:val="0"/>
              </w:numPr>
              <w:spacing w:after="0"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(二)严格落实《报告表》中提出的废水污染防治措施。生活污水经化粪池处理后，进入污水处理站;生产废水经1座一体化装置污水处理站(日处理能力18m</w:t>
            </w:r>
            <w:r>
              <w:rPr>
                <w:rFonts w:hint="eastAsia" w:ascii="宋体" w:hAnsi="宋体" w:eastAsia="宋体" w:cs="宋体"/>
                <w:sz w:val="24"/>
                <w:szCs w:val="24"/>
                <w:vertAlign w:val="superscript"/>
              </w:rPr>
              <w:t>3</w:t>
            </w:r>
            <w:r>
              <w:rPr>
                <w:rFonts w:hint="eastAsia" w:ascii="宋体" w:hAnsi="宋体" w:eastAsia="宋体" w:cs="宋体"/>
                <w:sz w:val="24"/>
                <w:szCs w:val="24"/>
              </w:rPr>
              <w:t>,采用“调节池+CSTR厌氧反应器”工艺)处理达污水处理协议中废水接纳标准后，排入青川县生活垃圾处理厂渗滤液处理系统进行处置。</w:t>
            </w:r>
          </w:p>
          <w:p w14:paraId="247B77E5">
            <w:pPr>
              <w:pStyle w:val="32"/>
              <w:numPr>
                <w:ilvl w:val="0"/>
                <w:numId w:val="0"/>
              </w:numPr>
              <w:spacing w:after="0" w:line="360" w:lineRule="auto"/>
              <w:ind w:firstLine="240" w:firstLineChars="100"/>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三)严格落实《报告表》提出的噪声防治措施。选用低噪声设备，基础减震，合理布局，厂房隔声，加强管理等措施。</w:t>
            </w:r>
          </w:p>
          <w:p w14:paraId="0DB9E026">
            <w:pPr>
              <w:pStyle w:val="32"/>
              <w:numPr>
                <w:ilvl w:val="0"/>
                <w:numId w:val="0"/>
              </w:numPr>
              <w:spacing w:after="0"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四)严格落实《报告表》提出的固体废物处置措施。废石和废渣等杂质、沼渣、污水处理站污泥经厂内分类袋装收集后交由青川县垃圾填埋场统一清运并妥善处置;生活垃圾经分类袋装收集后交由当地环卫人员清运并妥善处置;废脱硫剂经袋装收集后由厂家定期更换回收处理;废机油、废油桶、含油废抹布等危险废物经分类收集后，暂存于危险废物暂存间，定期交由具有危废处置的资质单位进行清运及处置。</w:t>
            </w:r>
          </w:p>
          <w:p w14:paraId="65CEC3AF">
            <w:pPr>
              <w:pStyle w:val="32"/>
              <w:numPr>
                <w:ilvl w:val="0"/>
                <w:numId w:val="0"/>
              </w:numPr>
              <w:spacing w:after="0"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三、项目需按照《排污许可管理条例》有关规定，在正式投产前完成《排污许可证》申领工作，不得无证排污。项目建设必须依法严格执行环境保护设施与主体工程同时设计、同时施工、同时投入使用的环境保护“三同时”制度。你公司应将环境保护设施建设纳入施工合同，保证环境保护设施建设进度和资金。项目竣工后，你公司是建设项目竣工环境保护验收的责任主体，应当按照规定的程序和标准，组织对配套建设的环境保护设施进行验收，编制验收报告，公开相关信息，接受社会监督。</w:t>
            </w:r>
          </w:p>
          <w:p w14:paraId="0BB6CD01">
            <w:pPr>
              <w:pStyle w:val="32"/>
              <w:numPr>
                <w:ilvl w:val="0"/>
                <w:numId w:val="0"/>
              </w:numPr>
              <w:spacing w:after="0"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四、项目开工建设时，需及时向广元市青川生态环境保护综合行政执法大队报告。请广元市青川生态环境保护综合行政执法大队负责该项目的“三同时”监督检查和日常监督管理。</w:t>
            </w:r>
          </w:p>
          <w:p w14:paraId="538173CF">
            <w:pPr>
              <w:pStyle w:val="32"/>
              <w:numPr>
                <w:ilvl w:val="0"/>
                <w:numId w:val="0"/>
              </w:numPr>
              <w:spacing w:after="0" w:line="360" w:lineRule="auto"/>
              <w:rPr>
                <w:rFonts w:hint="default" w:ascii="Times New Roman" w:hAnsi="Times New Roman" w:cs="Times New Roman"/>
                <w:color w:val="auto"/>
                <w:sz w:val="24"/>
                <w:szCs w:val="24"/>
              </w:rPr>
            </w:pPr>
          </w:p>
        </w:tc>
      </w:tr>
    </w:tbl>
    <w:p w14:paraId="1B6D101E">
      <w:pPr>
        <w:ind w:firstLine="420"/>
        <w:rPr>
          <w:rFonts w:hint="default" w:ascii="Times New Roman" w:hAnsi="Times New Roman" w:cs="Times New Roman"/>
          <w:color w:val="auto"/>
        </w:rPr>
        <w:sectPr>
          <w:pgSz w:w="11906" w:h="16838"/>
          <w:pgMar w:top="1440" w:right="1080" w:bottom="1440" w:left="1080" w:header="850" w:footer="964" w:gutter="0"/>
          <w:pgBorders>
            <w:top w:val="none" w:sz="0" w:space="0"/>
            <w:left w:val="none" w:sz="0" w:space="0"/>
            <w:bottom w:val="none" w:sz="0" w:space="0"/>
            <w:right w:val="none" w:sz="0" w:space="0"/>
          </w:pgBorders>
          <w:pgNumType w:fmt="numberInDash"/>
          <w:cols w:space="720" w:num="1"/>
          <w:docGrid w:linePitch="360" w:charSpace="0"/>
        </w:sectPr>
      </w:pPr>
    </w:p>
    <w:p w14:paraId="3CCBF775">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color w:val="auto"/>
        </w:rPr>
      </w:pPr>
      <w:bookmarkStart w:id="21" w:name="_Toc24264"/>
      <w:bookmarkStart w:id="22" w:name="_Toc10628"/>
      <w:bookmarkStart w:id="23" w:name="_Toc22204_WPSOffice_Level1"/>
      <w:bookmarkStart w:id="24" w:name="_Toc19333"/>
      <w:bookmarkStart w:id="25" w:name="_Toc13518_WPSOffice_Level1"/>
      <w:r>
        <w:rPr>
          <w:rFonts w:hint="default" w:ascii="Times New Roman" w:hAnsi="Times New Roman" w:cs="Times New Roman"/>
          <w:color w:val="auto"/>
        </w:rPr>
        <w:t>表五  验收</w:t>
      </w:r>
      <w:r>
        <w:rPr>
          <w:rFonts w:hint="eastAsia" w:ascii="Times New Roman" w:hAnsi="Times New Roman" w:cs="Times New Roman"/>
          <w:color w:val="auto"/>
          <w:lang w:eastAsia="zh-CN"/>
        </w:rPr>
        <w:t>检测</w:t>
      </w:r>
      <w:r>
        <w:rPr>
          <w:rFonts w:hint="default" w:ascii="Times New Roman" w:hAnsi="Times New Roman" w:cs="Times New Roman"/>
          <w:color w:val="auto"/>
        </w:rPr>
        <w:t>质量保证及质量控制</w:t>
      </w:r>
      <w:bookmarkEnd w:id="21"/>
      <w:bookmarkEnd w:id="22"/>
      <w:bookmarkEnd w:id="23"/>
      <w:bookmarkEnd w:id="24"/>
      <w:bookmarkEnd w:id="25"/>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1"/>
        <w:gridCol w:w="25"/>
      </w:tblGrid>
      <w:tr w14:paraId="2AAB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5" w:hRule="atLeast"/>
          <w:jc w:val="center"/>
        </w:trPr>
        <w:tc>
          <w:tcPr>
            <w:tcW w:w="9636" w:type="dxa"/>
            <w:gridSpan w:val="2"/>
            <w:noWrap w:val="0"/>
            <w:vAlign w:val="top"/>
          </w:tcPr>
          <w:p w14:paraId="7A6D5D44">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1、</w:t>
            </w:r>
            <w:r>
              <w:rPr>
                <w:rFonts w:hint="default" w:ascii="Times New Roman" w:hAnsi="Times New Roman" w:cs="Times New Roman"/>
                <w:b/>
                <w:bCs/>
                <w:color w:val="auto"/>
                <w:sz w:val="24"/>
                <w:szCs w:val="24"/>
              </w:rPr>
              <w:t>质量保证及质量控制措施</w:t>
            </w:r>
          </w:p>
          <w:p w14:paraId="645A914D">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为了确保</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数据的代表性、完整性、可靠性、准确性和精密性，对</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的全过程（包括布点采样、样品贮运、实验室分析、数据处理等）进行了质量控制。</w:t>
            </w:r>
          </w:p>
          <w:p w14:paraId="3E5493A2">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（1）严格按照验收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方案的要求开展</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工作。</w:t>
            </w:r>
          </w:p>
          <w:p w14:paraId="2E200D45">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（2）合理布设</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点，保证各</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点位布设的代表性。</w:t>
            </w:r>
          </w:p>
          <w:p w14:paraId="6745B34C">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（3）采样人员严格遵照采样技术规范进行采样工作，认真填写采样记录，按规定保存、运输样品。</w:t>
            </w:r>
          </w:p>
          <w:p w14:paraId="5F47963A">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（4）确保在正常工况下开展验收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并如实记录工况。</w:t>
            </w:r>
          </w:p>
          <w:p w14:paraId="56D4C005">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分析采用国家有关部门颁布的标准分析方法或推荐方法；</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人员经考核合格后</w:t>
            </w:r>
            <w:r>
              <w:rPr>
                <w:rFonts w:hint="eastAsia" w:ascii="Times New Roman" w:hAnsi="Times New Roman" w:cs="Times New Roman"/>
                <w:color w:val="auto"/>
                <w:sz w:val="24"/>
                <w:szCs w:val="24"/>
                <w:lang w:val="en-US" w:eastAsia="zh-CN"/>
              </w:rPr>
              <w:t>并被授权进行采样活动</w:t>
            </w:r>
            <w:r>
              <w:rPr>
                <w:rFonts w:hint="default" w:ascii="Times New Roman" w:hAnsi="Times New Roman" w:cs="Times New Roman"/>
                <w:color w:val="auto"/>
                <w:sz w:val="24"/>
                <w:szCs w:val="24"/>
              </w:rPr>
              <w:t>。</w:t>
            </w:r>
          </w:p>
          <w:p w14:paraId="7EAA81FA">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（6）现场采样和测试前，按照国家环保局发布的《环境</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技术规范》和《环境空气</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质量保证手册》的要求进行质量控制。</w:t>
            </w:r>
          </w:p>
          <w:p w14:paraId="1F2C4509">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报告严格实行三级审核制度。</w:t>
            </w:r>
          </w:p>
          <w:p w14:paraId="70A9E4FE">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采样和分析人员，具有环境</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资质合格证；</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仪器、量具均经过计量部门检定合格并在有效期间使用。</w:t>
            </w:r>
          </w:p>
          <w:p w14:paraId="16A60006">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2、</w:t>
            </w:r>
            <w:r>
              <w:rPr>
                <w:rFonts w:hint="default" w:ascii="Times New Roman" w:hAnsi="Times New Roman" w:cs="Times New Roman"/>
                <w:b/>
                <w:bCs/>
                <w:color w:val="auto"/>
                <w:sz w:val="24"/>
                <w:szCs w:val="24"/>
              </w:rPr>
              <w:t>气体</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分析过程中的质量保证和质量控制</w:t>
            </w:r>
          </w:p>
          <w:p w14:paraId="7C6497F0">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（1）尽量避免被测排放物中共存污染物对分析的交叉干扰。</w:t>
            </w:r>
          </w:p>
          <w:p w14:paraId="6FD1EB43">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（2）被测排放物的浓度在仪器量程的有效范围（即30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%-70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%之间）。</w:t>
            </w:r>
          </w:p>
          <w:p w14:paraId="295C7927">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（3）为了确保</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数据的合理性、可靠性和准确性，必须对</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的全过程（包括布点、采样、样品贮运、实验室分析、数据处理等）进行质量控制。</w:t>
            </w:r>
          </w:p>
          <w:p w14:paraId="28A47DC0">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时布点、采样、样品运输、分析、数据处理、报出均按《环境</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技术规范》中</w:t>
            </w:r>
            <w:r>
              <w:rPr>
                <w:rFonts w:hint="eastAsia" w:ascii="Times New Roman" w:hAnsi="Times New Roman" w:cs="Times New Roman"/>
                <w:color w:val="auto"/>
                <w:sz w:val="24"/>
                <w:szCs w:val="24"/>
                <w:lang w:eastAsia="zh-CN"/>
              </w:rPr>
              <w:t>水、</w:t>
            </w:r>
            <w:r>
              <w:rPr>
                <w:rFonts w:hint="default" w:ascii="Times New Roman" w:hAnsi="Times New Roman" w:cs="Times New Roman"/>
                <w:color w:val="auto"/>
                <w:sz w:val="24"/>
                <w:szCs w:val="24"/>
              </w:rPr>
              <w:t>气</w:t>
            </w:r>
            <w:r>
              <w:rPr>
                <w:rFonts w:hint="eastAsia" w:ascii="Times New Roman" w:hAnsi="Times New Roman" w:cs="Times New Roman"/>
                <w:color w:val="auto"/>
                <w:sz w:val="24"/>
                <w:szCs w:val="24"/>
                <w:lang w:eastAsia="zh-CN"/>
              </w:rPr>
              <w:t>、噪声</w:t>
            </w:r>
            <w:r>
              <w:rPr>
                <w:rFonts w:hint="default" w:ascii="Times New Roman" w:hAnsi="Times New Roman" w:cs="Times New Roman"/>
                <w:color w:val="auto"/>
                <w:sz w:val="24"/>
                <w:szCs w:val="24"/>
              </w:rPr>
              <w:t>的质控要求进行。</w:t>
            </w:r>
          </w:p>
          <w:p w14:paraId="4B2C58B4">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（5）合理布设</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点位，保证各</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点位布设的科学性和代表性。</w:t>
            </w:r>
          </w:p>
          <w:p w14:paraId="62453D54">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（6）采样人员严格遵守采样操作规程，认真填写采样记录，按规定保存、运输样品。</w:t>
            </w:r>
          </w:p>
          <w:p w14:paraId="3E0C280A">
            <w:pPr>
              <w:spacing w:line="360" w:lineRule="auto"/>
              <w:rPr>
                <w:rFonts w:hint="default" w:ascii="Times New Roman" w:hAnsi="Times New Roman" w:cs="Times New Roman"/>
                <w:b/>
                <w:bCs/>
                <w:color w:val="auto"/>
                <w:sz w:val="24"/>
                <w:szCs w:val="24"/>
              </w:rPr>
            </w:pP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lang w:val="en-US" w:eastAsia="zh-CN"/>
              </w:rPr>
              <w:t>、</w:t>
            </w:r>
            <w:r>
              <w:rPr>
                <w:rFonts w:hint="eastAsia" w:ascii="Times New Roman" w:hAnsi="Times New Roman" w:cs="Times New Roman"/>
                <w:b/>
                <w:bCs/>
                <w:color w:val="auto"/>
                <w:sz w:val="24"/>
                <w:szCs w:val="24"/>
                <w:lang w:eastAsia="zh-CN"/>
              </w:rPr>
              <w:t>废水检测</w:t>
            </w:r>
            <w:r>
              <w:rPr>
                <w:rFonts w:hint="default" w:ascii="Times New Roman" w:hAnsi="Times New Roman" w:cs="Times New Roman"/>
                <w:b/>
                <w:bCs/>
                <w:color w:val="auto"/>
                <w:sz w:val="24"/>
                <w:szCs w:val="24"/>
              </w:rPr>
              <w:t>分析过程中的质量保证和质量控制</w:t>
            </w:r>
          </w:p>
          <w:p w14:paraId="4F56915E">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采样人员严格遵守采样操作规程，认真填写采样记录，按规定保存、运输样品。</w:t>
            </w:r>
          </w:p>
          <w:p w14:paraId="6D075E9A">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cs="Times New Roman"/>
                <w:b/>
                <w:bCs/>
                <w:color w:val="auto"/>
                <w:sz w:val="24"/>
                <w:szCs w:val="24"/>
                <w:lang w:val="en-US" w:eastAsia="zh-CN"/>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CN"/>
              </w:rPr>
              <w:t>水样测定过程中按规定进行平行样、加标样</w:t>
            </w:r>
            <w:r>
              <w:rPr>
                <w:rFonts w:hint="eastAsia" w:ascii="Times New Roman" w:hAnsi="Times New Roman" w:eastAsia="宋体" w:cs="Times New Roman"/>
                <w:color w:val="auto"/>
                <w:sz w:val="24"/>
                <w:szCs w:val="24"/>
                <w:lang w:val="en-US" w:eastAsia="zh-CN"/>
              </w:rPr>
              <w:t>或</w:t>
            </w:r>
            <w:r>
              <w:rPr>
                <w:rFonts w:hint="default" w:ascii="Times New Roman" w:hAnsi="Times New Roman" w:eastAsia="宋体" w:cs="Times New Roman"/>
                <w:color w:val="auto"/>
                <w:sz w:val="24"/>
                <w:szCs w:val="24"/>
                <w:lang w:eastAsia="zh-CN"/>
              </w:rPr>
              <w:t>质控样测定</w:t>
            </w:r>
            <w:r>
              <w:rPr>
                <w:rFonts w:hint="eastAsia" w:ascii="Times New Roman" w:hAnsi="Times New Roman" w:eastAsia="宋体" w:cs="Times New Roman"/>
                <w:color w:val="auto"/>
                <w:sz w:val="24"/>
                <w:szCs w:val="24"/>
                <w:lang w:eastAsia="zh-CN"/>
              </w:rPr>
              <w:t>。</w:t>
            </w:r>
          </w:p>
          <w:p w14:paraId="0CA463A7">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cs="Times New Roman"/>
                <w:b/>
                <w:bCs/>
                <w:color w:val="auto"/>
                <w:sz w:val="24"/>
                <w:szCs w:val="24"/>
                <w:lang w:val="en-US" w:eastAsia="zh-CN"/>
              </w:rPr>
            </w:pPr>
          </w:p>
          <w:p w14:paraId="333826F7">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4、</w:t>
            </w:r>
            <w:r>
              <w:rPr>
                <w:rFonts w:hint="default" w:ascii="Times New Roman" w:hAnsi="Times New Roman" w:cs="Times New Roman"/>
                <w:b/>
                <w:bCs/>
                <w:color w:val="auto"/>
                <w:sz w:val="24"/>
                <w:szCs w:val="24"/>
              </w:rPr>
              <w:t>噪声</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分析过程中的质量保证和质量控制</w:t>
            </w:r>
          </w:p>
          <w:p w14:paraId="18631741">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（1）噪声</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仪使用精密度为</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型</w:t>
            </w:r>
            <w:r>
              <w:rPr>
                <w:rFonts w:hint="eastAsia" w:ascii="Times New Roman" w:hAnsi="Times New Roman" w:cs="Times New Roman"/>
                <w:color w:val="auto"/>
                <w:sz w:val="24"/>
                <w:szCs w:val="24"/>
                <w:lang w:val="en-US" w:eastAsia="zh-CN"/>
              </w:rPr>
              <w:t>及2型以上的</w:t>
            </w:r>
            <w:r>
              <w:rPr>
                <w:rFonts w:hint="default" w:ascii="Times New Roman" w:hAnsi="Times New Roman" w:cs="Times New Roman"/>
                <w:color w:val="auto"/>
                <w:sz w:val="24"/>
                <w:szCs w:val="24"/>
              </w:rPr>
              <w:t>积分声级计，测量前后用标准声源发生器进行校准，测量前后仪器灵敏度相差均不大于0.5dB，若大于0.5dB测试数据无效。</w:t>
            </w:r>
          </w:p>
          <w:p w14:paraId="3A760E9A">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（2）噪声测量在无雨雪、无雷电，风速小于5</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m/s的气象条件下进行。</w:t>
            </w:r>
          </w:p>
          <w:p w14:paraId="31BB70F9">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（3）厂界噪声测量按《工业企业厂界环境噪声排放标准》（GB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12348-2008）中有关规定</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方法进行。</w:t>
            </w:r>
          </w:p>
          <w:p w14:paraId="5447EEFF">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5、</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分析方法及</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仪器</w:t>
            </w:r>
          </w:p>
          <w:p w14:paraId="3595C72E">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现场采样技术规范见表5-1，检测方法、方法来源</w:t>
            </w:r>
            <w:r>
              <w:rPr>
                <w:rFonts w:hint="eastAsia" w:cs="Times New Roman"/>
                <w:color w:val="auto"/>
                <w:sz w:val="24"/>
                <w:szCs w:val="24"/>
                <w:lang w:eastAsia="zh-CN"/>
              </w:rPr>
              <w:t>、</w:t>
            </w:r>
            <w:r>
              <w:rPr>
                <w:rFonts w:hint="default" w:ascii="Times New Roman" w:hAnsi="Times New Roman" w:cs="Times New Roman"/>
                <w:color w:val="auto"/>
                <w:sz w:val="24"/>
                <w:szCs w:val="24"/>
              </w:rPr>
              <w:t>检测</w:t>
            </w:r>
            <w:r>
              <w:rPr>
                <w:rFonts w:hint="eastAsia" w:ascii="Times New Roman" w:hAnsi="Times New Roman" w:cs="Times New Roman"/>
                <w:color w:val="auto"/>
                <w:sz w:val="24"/>
                <w:szCs w:val="24"/>
                <w:lang w:eastAsia="zh-CN"/>
              </w:rPr>
              <w:t>仪器</w:t>
            </w:r>
            <w:r>
              <w:rPr>
                <w:rFonts w:hint="default" w:ascii="Times New Roman" w:hAnsi="Times New Roman" w:cs="Times New Roman"/>
                <w:color w:val="auto"/>
                <w:sz w:val="24"/>
                <w:szCs w:val="24"/>
              </w:rPr>
              <w:t>设备见表5-2</w:t>
            </w:r>
            <w:r>
              <w:rPr>
                <w:rFonts w:hint="eastAsia" w:ascii="Times New Roman" w:hAnsi="Times New Roman" w:cs="Times New Roman"/>
                <w:color w:val="auto"/>
                <w:sz w:val="24"/>
                <w:szCs w:val="24"/>
                <w:lang w:val="en-US" w:eastAsia="zh-CN"/>
              </w:rPr>
              <w:t>。</w:t>
            </w:r>
          </w:p>
          <w:p w14:paraId="7E48476F">
            <w:pPr>
              <w:spacing w:line="240" w:lineRule="auto"/>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表5-1 </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现场采样技术规范</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27"/>
              <w:gridCol w:w="5867"/>
              <w:gridCol w:w="1877"/>
            </w:tblGrid>
            <w:tr w14:paraId="358F2F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tblHeader/>
                <w:jc w:val="center"/>
              </w:trPr>
              <w:tc>
                <w:tcPr>
                  <w:tcW w:w="1327" w:type="dxa"/>
                  <w:tcBorders>
                    <w:tl2br w:val="nil"/>
                    <w:tr2bl w:val="nil"/>
                  </w:tcBorders>
                  <w:noWrap w:val="0"/>
                  <w:vAlign w:val="center"/>
                </w:tcPr>
                <w:p w14:paraId="5F08419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类别</w:t>
                  </w:r>
                </w:p>
              </w:tc>
              <w:tc>
                <w:tcPr>
                  <w:tcW w:w="5867" w:type="dxa"/>
                  <w:tcBorders>
                    <w:tl2br w:val="nil"/>
                    <w:tr2bl w:val="nil"/>
                  </w:tcBorders>
                  <w:noWrap w:val="0"/>
                  <w:vAlign w:val="center"/>
                </w:tcPr>
                <w:p w14:paraId="58D7A2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规范名称</w:t>
                  </w:r>
                </w:p>
              </w:tc>
              <w:tc>
                <w:tcPr>
                  <w:tcW w:w="1877" w:type="dxa"/>
                  <w:tcBorders>
                    <w:tl2br w:val="nil"/>
                    <w:tr2bl w:val="nil"/>
                  </w:tcBorders>
                  <w:noWrap w:val="0"/>
                  <w:vAlign w:val="center"/>
                </w:tcPr>
                <w:p w14:paraId="5AA849A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方法来源</w:t>
                  </w:r>
                </w:p>
              </w:tc>
            </w:tr>
            <w:tr w14:paraId="68C5CE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restart"/>
                  <w:tcBorders>
                    <w:tl2br w:val="nil"/>
                    <w:tr2bl w:val="nil"/>
                  </w:tcBorders>
                  <w:noWrap w:val="0"/>
                  <w:vAlign w:val="center"/>
                </w:tcPr>
                <w:p w14:paraId="33E97C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有组织废气</w:t>
                  </w:r>
                </w:p>
              </w:tc>
              <w:tc>
                <w:tcPr>
                  <w:tcW w:w="5867" w:type="dxa"/>
                  <w:tcBorders>
                    <w:bottom w:val="single" w:color="auto" w:sz="4" w:space="0"/>
                    <w:tl2br w:val="nil"/>
                    <w:tr2bl w:val="nil"/>
                  </w:tcBorders>
                  <w:noWrap w:val="0"/>
                  <w:vAlign w:val="center"/>
                </w:tcPr>
                <w:p w14:paraId="63FB26A1">
                  <w:pPr>
                    <w:spacing w:line="240" w:lineRule="auto"/>
                    <w:jc w:val="center"/>
                    <w:rPr>
                      <w:rFonts w:hint="default" w:ascii="Times New Roman" w:hAnsi="Times New Roman" w:eastAsia="宋体" w:cs="Times New Roman"/>
                      <w:bCs/>
                      <w:color w:val="auto"/>
                      <w:sz w:val="21"/>
                      <w:szCs w:val="21"/>
                    </w:rPr>
                  </w:pPr>
                  <w:r>
                    <w:rPr>
                      <w:rFonts w:hint="default" w:ascii="Times New Roman" w:hAnsi="Times New Roman" w:cs="Times New Roman"/>
                      <w:bCs/>
                      <w:color w:val="auto"/>
                      <w:sz w:val="21"/>
                      <w:szCs w:val="21"/>
                    </w:rPr>
                    <w:t>《固定</w:t>
                  </w:r>
                  <w:r>
                    <w:rPr>
                      <w:rFonts w:hint="default" w:ascii="Times New Roman" w:hAnsi="Times New Roman" w:cs="Times New Roman"/>
                      <w:bCs/>
                      <w:color w:val="auto"/>
                      <w:sz w:val="21"/>
                      <w:szCs w:val="21"/>
                      <w:lang w:eastAsia="zh-CN"/>
                    </w:rPr>
                    <w:t>污染</w:t>
                  </w:r>
                  <w:r>
                    <w:rPr>
                      <w:rFonts w:hint="default" w:ascii="Times New Roman" w:hAnsi="Times New Roman" w:cs="Times New Roman"/>
                      <w:bCs/>
                      <w:color w:val="auto"/>
                      <w:sz w:val="21"/>
                      <w:szCs w:val="21"/>
                    </w:rPr>
                    <w:t>源废气监测技术规范》</w:t>
                  </w:r>
                </w:p>
              </w:tc>
              <w:tc>
                <w:tcPr>
                  <w:tcW w:w="1877" w:type="dxa"/>
                  <w:tcBorders>
                    <w:bottom w:val="single" w:color="auto" w:sz="4" w:space="0"/>
                    <w:tl2br w:val="nil"/>
                    <w:tr2bl w:val="nil"/>
                  </w:tcBorders>
                  <w:noWrap w:val="0"/>
                  <w:vAlign w:val="center"/>
                </w:tcPr>
                <w:p w14:paraId="00A82AB9">
                  <w:pPr>
                    <w:spacing w:line="240" w:lineRule="auto"/>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HJ/T 397-2007</w:t>
                  </w:r>
                </w:p>
              </w:tc>
            </w:tr>
            <w:tr w14:paraId="644A0E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continue"/>
                  <w:tcBorders>
                    <w:tl2br w:val="nil"/>
                    <w:tr2bl w:val="nil"/>
                  </w:tcBorders>
                  <w:noWrap w:val="0"/>
                  <w:vAlign w:val="center"/>
                </w:tcPr>
                <w:p w14:paraId="50F0B5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p>
              </w:tc>
              <w:tc>
                <w:tcPr>
                  <w:tcW w:w="5867" w:type="dxa"/>
                  <w:tcBorders>
                    <w:tl2br w:val="nil"/>
                    <w:tr2bl w:val="nil"/>
                  </w:tcBorders>
                  <w:noWrap w:val="0"/>
                  <w:vAlign w:val="center"/>
                </w:tcPr>
                <w:p w14:paraId="6D4AED84">
                  <w:pPr>
                    <w:spacing w:line="240" w:lineRule="auto"/>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r>
                    <w:rPr>
                      <w:rFonts w:hint="default" w:ascii="Times New Roman" w:hAnsi="Times New Roman" w:cs="Times New Roman"/>
                      <w:bCs/>
                      <w:color w:val="auto"/>
                      <w:sz w:val="21"/>
                      <w:szCs w:val="21"/>
                      <w:lang w:eastAsia="zh-CN"/>
                    </w:rPr>
                    <w:t>固定污染源</w:t>
                  </w:r>
                  <w:r>
                    <w:rPr>
                      <w:rFonts w:hint="eastAsia" w:ascii="Times New Roman" w:hAnsi="Times New Roman" w:cs="Times New Roman"/>
                      <w:bCs/>
                      <w:color w:val="auto"/>
                      <w:sz w:val="21"/>
                      <w:szCs w:val="21"/>
                      <w:lang w:eastAsia="zh-CN"/>
                    </w:rPr>
                    <w:t>排气中</w:t>
                  </w:r>
                  <w:r>
                    <w:rPr>
                      <w:rFonts w:hint="default" w:ascii="Times New Roman" w:hAnsi="Times New Roman" w:cs="Times New Roman"/>
                      <w:bCs/>
                      <w:color w:val="auto"/>
                      <w:sz w:val="21"/>
                      <w:szCs w:val="21"/>
                      <w:lang w:val="en-US" w:eastAsia="zh-CN"/>
                    </w:rPr>
                    <w:t>颗粒物</w:t>
                  </w:r>
                  <w:r>
                    <w:rPr>
                      <w:rFonts w:hint="eastAsia" w:ascii="Times New Roman" w:hAnsi="Times New Roman" w:cs="Times New Roman"/>
                      <w:bCs/>
                      <w:color w:val="auto"/>
                      <w:sz w:val="21"/>
                      <w:szCs w:val="21"/>
                      <w:lang w:val="en-US" w:eastAsia="zh-CN"/>
                    </w:rPr>
                    <w:t>测定与气态污染物采样方法</w:t>
                  </w:r>
                  <w:r>
                    <w:rPr>
                      <w:rFonts w:hint="default" w:ascii="Times New Roman" w:hAnsi="Times New Roman" w:cs="Times New Roman"/>
                      <w:bCs/>
                      <w:color w:val="auto"/>
                      <w:sz w:val="21"/>
                      <w:szCs w:val="21"/>
                    </w:rPr>
                    <w:t>》</w:t>
                  </w:r>
                </w:p>
              </w:tc>
              <w:tc>
                <w:tcPr>
                  <w:tcW w:w="1877" w:type="dxa"/>
                  <w:tcBorders>
                    <w:tl2br w:val="nil"/>
                    <w:tr2bl w:val="nil"/>
                  </w:tcBorders>
                  <w:noWrap w:val="0"/>
                  <w:vAlign w:val="center"/>
                </w:tcPr>
                <w:p w14:paraId="22320B1F">
                  <w:pPr>
                    <w:spacing w:line="240" w:lineRule="auto"/>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GB/T 16157-1996</w:t>
                  </w:r>
                </w:p>
              </w:tc>
            </w:tr>
            <w:tr w14:paraId="4E9D85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continue"/>
                  <w:tcBorders>
                    <w:tl2br w:val="nil"/>
                    <w:tr2bl w:val="nil"/>
                  </w:tcBorders>
                  <w:noWrap w:val="0"/>
                  <w:vAlign w:val="center"/>
                </w:tcPr>
                <w:p w14:paraId="7C53632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p>
              </w:tc>
              <w:tc>
                <w:tcPr>
                  <w:tcW w:w="5867" w:type="dxa"/>
                  <w:tcBorders>
                    <w:tl2br w:val="nil"/>
                    <w:tr2bl w:val="nil"/>
                  </w:tcBorders>
                  <w:noWrap w:val="0"/>
                  <w:vAlign w:val="center"/>
                </w:tcPr>
                <w:p w14:paraId="1940AC9E">
                  <w:pPr>
                    <w:spacing w:line="240" w:lineRule="auto"/>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w:t>
                  </w:r>
                  <w:r>
                    <w:rPr>
                      <w:rFonts w:hint="default" w:ascii="Times New Roman" w:hAnsi="Times New Roman" w:cs="Times New Roman"/>
                      <w:bCs/>
                      <w:color w:val="auto"/>
                      <w:sz w:val="21"/>
                      <w:szCs w:val="21"/>
                      <w:lang w:eastAsia="zh-CN"/>
                    </w:rPr>
                    <w:t>固定污染源废气</w:t>
                  </w:r>
                  <w:r>
                    <w:rPr>
                      <w:rFonts w:hint="eastAsia" w:ascii="Times New Roman" w:hAnsi="Times New Roman" w:cs="Times New Roman"/>
                      <w:bCs/>
                      <w:color w:val="auto"/>
                      <w:sz w:val="21"/>
                      <w:szCs w:val="21"/>
                      <w:lang w:val="en-US" w:eastAsia="zh-CN"/>
                    </w:rPr>
                    <w:t xml:space="preserve"> </w:t>
                  </w:r>
                  <w:r>
                    <w:rPr>
                      <w:rFonts w:hint="default" w:ascii="Times New Roman" w:hAnsi="Times New Roman" w:cs="Times New Roman"/>
                      <w:bCs/>
                      <w:color w:val="auto"/>
                      <w:sz w:val="21"/>
                      <w:szCs w:val="21"/>
                      <w:lang w:eastAsia="zh-CN"/>
                    </w:rPr>
                    <w:t>低浓度颗粒物的测定</w:t>
                  </w:r>
                  <w:r>
                    <w:rPr>
                      <w:rFonts w:hint="default" w:ascii="Times New Roman" w:hAnsi="Times New Roman" w:cs="Times New Roman"/>
                      <w:bCs/>
                      <w:color w:val="auto"/>
                      <w:sz w:val="21"/>
                      <w:szCs w:val="21"/>
                    </w:rPr>
                    <w:t>》</w:t>
                  </w:r>
                </w:p>
              </w:tc>
              <w:tc>
                <w:tcPr>
                  <w:tcW w:w="1877" w:type="dxa"/>
                  <w:tcBorders>
                    <w:tl2br w:val="nil"/>
                    <w:tr2bl w:val="nil"/>
                  </w:tcBorders>
                  <w:noWrap w:val="0"/>
                  <w:vAlign w:val="center"/>
                </w:tcPr>
                <w:p w14:paraId="4A235DE3">
                  <w:pPr>
                    <w:spacing w:line="240" w:lineRule="auto"/>
                    <w:jc w:val="center"/>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 xml:space="preserve">HJ </w:t>
                  </w:r>
                  <w:r>
                    <w:rPr>
                      <w:rFonts w:hint="default" w:ascii="Times New Roman" w:hAnsi="Times New Roman" w:eastAsia="宋体" w:cs="Times New Roman"/>
                      <w:bCs/>
                      <w:color w:val="auto"/>
                      <w:sz w:val="21"/>
                      <w:szCs w:val="21"/>
                      <w:lang w:val="en-US" w:eastAsia="zh-CN"/>
                    </w:rPr>
                    <w:t>836</w:t>
                  </w:r>
                  <w:r>
                    <w:rPr>
                      <w:rFonts w:hint="default" w:ascii="Times New Roman" w:hAnsi="Times New Roman" w:eastAsia="宋体" w:cs="Times New Roman"/>
                      <w:bCs/>
                      <w:color w:val="auto"/>
                      <w:sz w:val="21"/>
                      <w:szCs w:val="21"/>
                    </w:rPr>
                    <w:t>-20</w:t>
                  </w:r>
                  <w:r>
                    <w:rPr>
                      <w:rFonts w:hint="default" w:ascii="Times New Roman" w:hAnsi="Times New Roman" w:eastAsia="宋体" w:cs="Times New Roman"/>
                      <w:bCs/>
                      <w:color w:val="auto"/>
                      <w:sz w:val="21"/>
                      <w:szCs w:val="21"/>
                      <w:lang w:val="en-US" w:eastAsia="zh-CN"/>
                    </w:rPr>
                    <w:t>1</w:t>
                  </w:r>
                  <w:r>
                    <w:rPr>
                      <w:rFonts w:hint="default" w:ascii="Times New Roman" w:hAnsi="Times New Roman" w:eastAsia="宋体" w:cs="Times New Roman"/>
                      <w:bCs/>
                      <w:color w:val="auto"/>
                      <w:sz w:val="21"/>
                      <w:szCs w:val="21"/>
                    </w:rPr>
                    <w:t>7</w:t>
                  </w:r>
                </w:p>
              </w:tc>
            </w:tr>
            <w:tr w14:paraId="6B0EE8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continue"/>
                  <w:tcBorders>
                    <w:tl2br w:val="nil"/>
                    <w:tr2bl w:val="nil"/>
                  </w:tcBorders>
                  <w:noWrap w:val="0"/>
                  <w:vAlign w:val="center"/>
                </w:tcPr>
                <w:p w14:paraId="5DA001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p>
              </w:tc>
              <w:tc>
                <w:tcPr>
                  <w:tcW w:w="5867" w:type="dxa"/>
                  <w:tcBorders>
                    <w:tl2br w:val="nil"/>
                    <w:tr2bl w:val="nil"/>
                  </w:tcBorders>
                  <w:noWrap w:val="0"/>
                  <w:vAlign w:val="center"/>
                </w:tcPr>
                <w:p w14:paraId="17A1F3F1">
                  <w:pPr>
                    <w:spacing w:line="240" w:lineRule="auto"/>
                    <w:jc w:val="center"/>
                    <w:rPr>
                      <w:rFonts w:hint="default" w:ascii="Times New Roman" w:hAnsi="Times New Roman" w:cs="Times New Roman"/>
                      <w:bCs/>
                      <w:color w:val="auto"/>
                      <w:sz w:val="21"/>
                      <w:szCs w:val="21"/>
                    </w:rPr>
                  </w:pPr>
                  <w:r>
                    <w:rPr>
                      <w:rFonts w:hint="eastAsia" w:ascii="宋体" w:hAnsi="宋体" w:eastAsia="宋体" w:cs="宋体"/>
                      <w:bCs/>
                      <w:color w:val="000000"/>
                      <w:sz w:val="21"/>
                      <w:szCs w:val="21"/>
                      <w:lang w:val="en-US" w:eastAsia="zh-CN"/>
                    </w:rPr>
                    <w:t>《恶臭污染环境监测技术规范》</w:t>
                  </w:r>
                </w:p>
              </w:tc>
              <w:tc>
                <w:tcPr>
                  <w:tcW w:w="1877" w:type="dxa"/>
                  <w:tcBorders>
                    <w:tl2br w:val="nil"/>
                    <w:tr2bl w:val="nil"/>
                  </w:tcBorders>
                  <w:noWrap w:val="0"/>
                  <w:vAlign w:val="center"/>
                </w:tcPr>
                <w:p w14:paraId="7C3D3400">
                  <w:pPr>
                    <w:spacing w:line="240" w:lineRule="auto"/>
                    <w:jc w:val="center"/>
                    <w:rPr>
                      <w:rFonts w:hint="default" w:ascii="Times New Roman" w:hAnsi="Times New Roman" w:eastAsia="宋体" w:cs="Times New Roman"/>
                      <w:bCs/>
                      <w:color w:val="auto"/>
                      <w:sz w:val="21"/>
                      <w:szCs w:val="21"/>
                    </w:rPr>
                  </w:pPr>
                  <w:r>
                    <w:rPr>
                      <w:rFonts w:ascii="Times New Roman" w:hAnsi="Times New Roman"/>
                      <w:bCs/>
                      <w:color w:val="000000"/>
                      <w:sz w:val="21"/>
                      <w:szCs w:val="21"/>
                    </w:rPr>
                    <w:t>HJ</w:t>
                  </w:r>
                  <w:r>
                    <w:rPr>
                      <w:rFonts w:hint="eastAsia" w:ascii="Times New Roman" w:hAnsi="Times New Roman"/>
                      <w:bCs/>
                      <w:color w:val="000000"/>
                      <w:sz w:val="21"/>
                      <w:szCs w:val="21"/>
                      <w:lang w:val="en-US" w:eastAsia="zh-CN"/>
                    </w:rPr>
                    <w:t xml:space="preserve">  905</w:t>
                  </w:r>
                  <w:r>
                    <w:rPr>
                      <w:bCs/>
                      <w:color w:val="000000"/>
                      <w:sz w:val="21"/>
                      <w:szCs w:val="21"/>
                    </w:rPr>
                    <w:t>-</w:t>
                  </w:r>
                  <w:r>
                    <w:rPr>
                      <w:rFonts w:ascii="Times New Roman" w:hAnsi="Times New Roman"/>
                      <w:bCs/>
                      <w:color w:val="000000"/>
                      <w:sz w:val="21"/>
                      <w:szCs w:val="21"/>
                    </w:rPr>
                    <w:t>20</w:t>
                  </w:r>
                  <w:r>
                    <w:rPr>
                      <w:rFonts w:hint="eastAsia" w:ascii="Times New Roman" w:hAnsi="Times New Roman"/>
                      <w:bCs/>
                      <w:color w:val="000000"/>
                      <w:sz w:val="21"/>
                      <w:szCs w:val="21"/>
                      <w:lang w:val="en-US" w:eastAsia="zh-CN"/>
                    </w:rPr>
                    <w:t>17</w:t>
                  </w:r>
                </w:p>
              </w:tc>
            </w:tr>
            <w:tr w14:paraId="1E13AB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restart"/>
                  <w:tcBorders>
                    <w:tl2br w:val="nil"/>
                    <w:tr2bl w:val="nil"/>
                  </w:tcBorders>
                  <w:noWrap w:val="0"/>
                  <w:vAlign w:val="center"/>
                </w:tcPr>
                <w:p w14:paraId="2C6E89B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无组织废气</w:t>
                  </w:r>
                </w:p>
              </w:tc>
              <w:tc>
                <w:tcPr>
                  <w:tcW w:w="5867" w:type="dxa"/>
                  <w:tcBorders>
                    <w:tl2br w:val="nil"/>
                    <w:tr2bl w:val="nil"/>
                  </w:tcBorders>
                  <w:noWrap w:val="0"/>
                  <w:vAlign w:val="center"/>
                </w:tcPr>
                <w:p w14:paraId="40043AFC">
                  <w:pPr>
                    <w:adjustRightInd w:val="0"/>
                    <w:snapToGrid w:val="0"/>
                    <w:spacing w:line="240" w:lineRule="auto"/>
                    <w:jc w:val="center"/>
                    <w:rPr>
                      <w:rFonts w:hint="default" w:ascii="Times New Roman" w:hAnsi="Times New Roman" w:eastAsia="宋体" w:cs="Times New Roman"/>
                      <w:bCs/>
                      <w:color w:val="auto"/>
                      <w:sz w:val="21"/>
                      <w:szCs w:val="21"/>
                    </w:rPr>
                  </w:pP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大气污染物无组织排放监测技术导则</w:t>
                  </w:r>
                  <w:r>
                    <w:rPr>
                      <w:rFonts w:hint="eastAsia" w:ascii="宋体" w:hAnsi="宋体" w:eastAsia="宋体" w:cs="宋体"/>
                      <w:bCs/>
                      <w:color w:val="auto"/>
                      <w:sz w:val="21"/>
                      <w:szCs w:val="21"/>
                    </w:rPr>
                    <w:t>》</w:t>
                  </w:r>
                </w:p>
              </w:tc>
              <w:tc>
                <w:tcPr>
                  <w:tcW w:w="1877" w:type="dxa"/>
                  <w:tcBorders>
                    <w:tl2br w:val="nil"/>
                    <w:tr2bl w:val="nil"/>
                  </w:tcBorders>
                  <w:noWrap w:val="0"/>
                  <w:vAlign w:val="center"/>
                </w:tcPr>
                <w:p w14:paraId="780270A5">
                  <w:pPr>
                    <w:adjustRightInd w:val="0"/>
                    <w:snapToGrid w:val="0"/>
                    <w:spacing w:line="240" w:lineRule="auto"/>
                    <w:jc w:val="center"/>
                    <w:rPr>
                      <w:rFonts w:hint="default" w:ascii="Times New Roman" w:hAnsi="Times New Roman" w:eastAsia="宋体" w:cs="Times New Roman"/>
                      <w:bCs/>
                      <w:color w:val="auto"/>
                      <w:sz w:val="21"/>
                      <w:szCs w:val="21"/>
                    </w:rPr>
                  </w:pPr>
                  <w:r>
                    <w:rPr>
                      <w:rFonts w:hint="eastAsia" w:ascii="Times New Roman" w:hAnsi="Times New Roman" w:eastAsia="宋体" w:cs="宋体"/>
                      <w:bCs/>
                      <w:color w:val="auto"/>
                      <w:sz w:val="21"/>
                      <w:szCs w:val="21"/>
                      <w:lang w:val="en-US" w:eastAsia="zh-CN"/>
                    </w:rPr>
                    <w:t>HJ/T 55-2000</w:t>
                  </w:r>
                </w:p>
              </w:tc>
            </w:tr>
            <w:tr w14:paraId="05C459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continue"/>
                  <w:tcBorders>
                    <w:tl2br w:val="nil"/>
                    <w:tr2bl w:val="nil"/>
                  </w:tcBorders>
                  <w:noWrap w:val="0"/>
                  <w:vAlign w:val="center"/>
                </w:tcPr>
                <w:p w14:paraId="048FD2E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p>
              </w:tc>
              <w:tc>
                <w:tcPr>
                  <w:tcW w:w="5867" w:type="dxa"/>
                  <w:tcBorders>
                    <w:tl2br w:val="nil"/>
                    <w:tr2bl w:val="nil"/>
                  </w:tcBorders>
                  <w:noWrap w:val="0"/>
                  <w:vAlign w:val="center"/>
                </w:tcPr>
                <w:p w14:paraId="02EA40F7">
                  <w:pPr>
                    <w:adjustRightInd w:val="0"/>
                    <w:snapToGrid w:val="0"/>
                    <w:spacing w:line="240" w:lineRule="auto"/>
                    <w:jc w:val="center"/>
                    <w:rPr>
                      <w:rFonts w:hint="default" w:ascii="Times New Roman" w:hAnsi="Times New Roman" w:eastAsia="宋体" w:cs="Times New Roman"/>
                      <w:bCs/>
                      <w:color w:val="auto"/>
                      <w:sz w:val="21"/>
                      <w:szCs w:val="21"/>
                    </w:rPr>
                  </w:pPr>
                  <w:r>
                    <w:rPr>
                      <w:rFonts w:hint="eastAsia" w:ascii="宋体" w:hAnsi="宋体" w:eastAsia="宋体" w:cs="宋体"/>
                      <w:bCs/>
                      <w:color w:val="auto"/>
                      <w:sz w:val="21"/>
                      <w:szCs w:val="21"/>
                      <w:lang w:val="en-US" w:eastAsia="zh-CN"/>
                    </w:rPr>
                    <w:t>《环境空气质量手工监测技术规范》</w:t>
                  </w:r>
                </w:p>
              </w:tc>
              <w:tc>
                <w:tcPr>
                  <w:tcW w:w="1877" w:type="dxa"/>
                  <w:tcBorders>
                    <w:tl2br w:val="nil"/>
                    <w:tr2bl w:val="nil"/>
                  </w:tcBorders>
                  <w:noWrap w:val="0"/>
                  <w:vAlign w:val="center"/>
                </w:tcPr>
                <w:p w14:paraId="2A693DE2">
                  <w:pPr>
                    <w:adjustRightInd w:val="0"/>
                    <w:snapToGrid w:val="0"/>
                    <w:spacing w:line="240" w:lineRule="auto"/>
                    <w:jc w:val="center"/>
                    <w:rPr>
                      <w:rFonts w:hint="default" w:ascii="Times New Roman" w:hAnsi="Times New Roman" w:eastAsia="宋体" w:cs="Times New Roman"/>
                      <w:bCs/>
                      <w:color w:val="auto"/>
                      <w:sz w:val="21"/>
                      <w:szCs w:val="21"/>
                    </w:rPr>
                  </w:pPr>
                  <w:r>
                    <w:rPr>
                      <w:rFonts w:hint="eastAsia" w:ascii="Times New Roman" w:hAnsi="Times New Roman" w:eastAsia="宋体" w:cs="宋体"/>
                      <w:bCs/>
                      <w:color w:val="auto"/>
                      <w:sz w:val="21"/>
                      <w:szCs w:val="21"/>
                      <w:lang w:val="en-US" w:eastAsia="zh-CN"/>
                    </w:rPr>
                    <w:t>HJ 194-2017</w:t>
                  </w:r>
                </w:p>
              </w:tc>
            </w:tr>
            <w:tr w14:paraId="29A70E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continue"/>
                  <w:tcBorders>
                    <w:tl2br w:val="nil"/>
                    <w:tr2bl w:val="nil"/>
                  </w:tcBorders>
                  <w:noWrap w:val="0"/>
                  <w:vAlign w:val="center"/>
                </w:tcPr>
                <w:p w14:paraId="475D9B1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eastAsia="zh-CN"/>
                    </w:rPr>
                  </w:pPr>
                </w:p>
              </w:tc>
              <w:tc>
                <w:tcPr>
                  <w:tcW w:w="5867" w:type="dxa"/>
                  <w:tcBorders>
                    <w:tl2br w:val="nil"/>
                    <w:tr2bl w:val="nil"/>
                  </w:tcBorders>
                  <w:noWrap w:val="0"/>
                  <w:vAlign w:val="center"/>
                </w:tcPr>
                <w:p w14:paraId="23B4F935">
                  <w:pPr>
                    <w:spacing w:line="240" w:lineRule="auto"/>
                    <w:jc w:val="center"/>
                    <w:rPr>
                      <w:rFonts w:hint="eastAsia" w:ascii="宋体" w:hAnsi="宋体" w:eastAsia="宋体" w:cs="宋体"/>
                      <w:bCs/>
                      <w:color w:val="auto"/>
                      <w:sz w:val="21"/>
                      <w:szCs w:val="21"/>
                      <w:lang w:val="en-US" w:eastAsia="zh-CN"/>
                    </w:rPr>
                  </w:pPr>
                  <w:r>
                    <w:rPr>
                      <w:rFonts w:hint="eastAsia" w:ascii="宋体" w:hAnsi="宋体" w:eastAsia="宋体" w:cs="宋体"/>
                      <w:bCs/>
                      <w:color w:val="000000"/>
                      <w:sz w:val="21"/>
                      <w:szCs w:val="21"/>
                      <w:lang w:val="en-US" w:eastAsia="zh-CN"/>
                    </w:rPr>
                    <w:t>《恶臭污染环境监测技术规范》</w:t>
                  </w:r>
                </w:p>
              </w:tc>
              <w:tc>
                <w:tcPr>
                  <w:tcW w:w="1877" w:type="dxa"/>
                  <w:tcBorders>
                    <w:tl2br w:val="nil"/>
                    <w:tr2bl w:val="nil"/>
                  </w:tcBorders>
                  <w:noWrap w:val="0"/>
                  <w:vAlign w:val="center"/>
                </w:tcPr>
                <w:p w14:paraId="49CC2A7E">
                  <w:pPr>
                    <w:spacing w:line="240" w:lineRule="auto"/>
                    <w:jc w:val="center"/>
                    <w:rPr>
                      <w:rFonts w:hint="eastAsia" w:ascii="Times New Roman" w:hAnsi="Times New Roman" w:eastAsia="宋体" w:cs="宋体"/>
                      <w:bCs/>
                      <w:color w:val="auto"/>
                      <w:sz w:val="21"/>
                      <w:szCs w:val="21"/>
                      <w:lang w:val="en-US" w:eastAsia="zh-CN"/>
                    </w:rPr>
                  </w:pPr>
                  <w:r>
                    <w:rPr>
                      <w:rFonts w:ascii="Times New Roman" w:hAnsi="Times New Roman"/>
                      <w:bCs/>
                      <w:color w:val="000000"/>
                      <w:sz w:val="21"/>
                      <w:szCs w:val="21"/>
                    </w:rPr>
                    <w:t>HJ</w:t>
                  </w:r>
                  <w:r>
                    <w:rPr>
                      <w:rFonts w:hint="eastAsia" w:ascii="Times New Roman" w:hAnsi="Times New Roman"/>
                      <w:bCs/>
                      <w:color w:val="000000"/>
                      <w:sz w:val="21"/>
                      <w:szCs w:val="21"/>
                      <w:lang w:val="en-US" w:eastAsia="zh-CN"/>
                    </w:rPr>
                    <w:t xml:space="preserve">  905</w:t>
                  </w:r>
                  <w:r>
                    <w:rPr>
                      <w:bCs/>
                      <w:color w:val="000000"/>
                      <w:sz w:val="21"/>
                      <w:szCs w:val="21"/>
                    </w:rPr>
                    <w:t>-</w:t>
                  </w:r>
                  <w:r>
                    <w:rPr>
                      <w:rFonts w:ascii="Times New Roman" w:hAnsi="Times New Roman"/>
                      <w:bCs/>
                      <w:color w:val="000000"/>
                      <w:sz w:val="21"/>
                      <w:szCs w:val="21"/>
                    </w:rPr>
                    <w:t>20</w:t>
                  </w:r>
                  <w:r>
                    <w:rPr>
                      <w:rFonts w:hint="eastAsia" w:ascii="Times New Roman" w:hAnsi="Times New Roman"/>
                      <w:bCs/>
                      <w:color w:val="000000"/>
                      <w:sz w:val="21"/>
                      <w:szCs w:val="21"/>
                      <w:lang w:val="en-US" w:eastAsia="zh-CN"/>
                    </w:rPr>
                    <w:t>17</w:t>
                  </w:r>
                </w:p>
              </w:tc>
            </w:tr>
            <w:tr w14:paraId="1445DC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tcBorders>
                    <w:tl2br w:val="nil"/>
                    <w:tr2bl w:val="nil"/>
                  </w:tcBorders>
                  <w:noWrap w:val="0"/>
                  <w:vAlign w:val="center"/>
                </w:tcPr>
                <w:p w14:paraId="0BF3B3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废水</w:t>
                  </w:r>
                </w:p>
              </w:tc>
              <w:tc>
                <w:tcPr>
                  <w:tcW w:w="5867" w:type="dxa"/>
                  <w:tcBorders>
                    <w:tl2br w:val="nil"/>
                    <w:tr2bl w:val="nil"/>
                  </w:tcBorders>
                  <w:noWrap w:val="0"/>
                  <w:vAlign w:val="center"/>
                </w:tcPr>
                <w:p w14:paraId="0A4AB58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rPr>
                    <w:t>《污水</w:t>
                  </w:r>
                  <w:r>
                    <w:rPr>
                      <w:rFonts w:hint="eastAsia" w:ascii="宋体" w:hAnsi="宋体" w:eastAsia="宋体" w:cs="宋体"/>
                      <w:bCs/>
                      <w:color w:val="auto"/>
                      <w:sz w:val="21"/>
                      <w:szCs w:val="21"/>
                      <w:lang w:eastAsia="zh-CN"/>
                    </w:rPr>
                    <w:t>监测</w:t>
                  </w:r>
                  <w:r>
                    <w:rPr>
                      <w:rFonts w:hint="eastAsia" w:ascii="宋体" w:hAnsi="宋体" w:eastAsia="宋体" w:cs="宋体"/>
                      <w:bCs/>
                      <w:color w:val="auto"/>
                      <w:sz w:val="21"/>
                      <w:szCs w:val="21"/>
                    </w:rPr>
                    <w:t>技术规范》</w:t>
                  </w:r>
                </w:p>
              </w:tc>
              <w:tc>
                <w:tcPr>
                  <w:tcW w:w="1877" w:type="dxa"/>
                  <w:tcBorders>
                    <w:tl2br w:val="nil"/>
                    <w:tr2bl w:val="nil"/>
                  </w:tcBorders>
                  <w:noWrap w:val="0"/>
                  <w:vAlign w:val="center"/>
                </w:tcPr>
                <w:p w14:paraId="7C9914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宋体" w:hAnsi="宋体" w:eastAsia="宋体" w:cs="宋体"/>
                      <w:bCs/>
                      <w:color w:val="auto"/>
                      <w:kern w:val="2"/>
                      <w:sz w:val="21"/>
                      <w:szCs w:val="21"/>
                      <w:lang w:val="en-US" w:eastAsia="zh-CN" w:bidi="ar-SA"/>
                    </w:rPr>
                  </w:pPr>
                  <w:r>
                    <w:rPr>
                      <w:rFonts w:hint="default" w:ascii="Times New Roman" w:hAnsi="Times New Roman" w:eastAsia="宋体" w:cs="Times New Roman"/>
                      <w:bCs/>
                      <w:color w:val="auto"/>
                      <w:sz w:val="21"/>
                      <w:szCs w:val="21"/>
                    </w:rPr>
                    <w:t>HJ</w:t>
                  </w:r>
                  <w:r>
                    <w:rPr>
                      <w:rFonts w:hint="eastAsia" w:ascii="Times New Roman" w:hAnsi="Times New Roman" w:eastAsia="宋体" w:cs="Times New Roman"/>
                      <w:bCs/>
                      <w:color w:val="auto"/>
                      <w:sz w:val="21"/>
                      <w:szCs w:val="21"/>
                      <w:lang w:val="en-US" w:eastAsia="zh-CN"/>
                    </w:rPr>
                    <w:t xml:space="preserve"> </w:t>
                  </w:r>
                  <w:r>
                    <w:rPr>
                      <w:rFonts w:hint="default" w:ascii="Times New Roman" w:hAnsi="Times New Roman" w:eastAsia="宋体" w:cs="Times New Roman"/>
                      <w:bCs/>
                      <w:color w:val="auto"/>
                      <w:sz w:val="21"/>
                      <w:szCs w:val="21"/>
                    </w:rPr>
                    <w:t>91</w:t>
                  </w:r>
                  <w:r>
                    <w:rPr>
                      <w:rFonts w:hint="eastAsia" w:ascii="Times New Roman" w:hAnsi="Times New Roman" w:eastAsia="宋体" w:cs="Times New Roman"/>
                      <w:bCs/>
                      <w:color w:val="auto"/>
                      <w:sz w:val="21"/>
                      <w:szCs w:val="21"/>
                      <w:lang w:val="en-US" w:eastAsia="zh-CN"/>
                    </w:rPr>
                    <w:t>.1</w:t>
                  </w:r>
                  <w:r>
                    <w:rPr>
                      <w:rFonts w:hint="default" w:ascii="Times New Roman" w:hAnsi="Times New Roman" w:eastAsia="宋体" w:cs="Times New Roman"/>
                      <w:bCs/>
                      <w:color w:val="auto"/>
                      <w:sz w:val="21"/>
                      <w:szCs w:val="21"/>
                    </w:rPr>
                    <w:t>-20</w:t>
                  </w:r>
                  <w:r>
                    <w:rPr>
                      <w:rFonts w:hint="eastAsia" w:ascii="Times New Roman" w:hAnsi="Times New Roman" w:eastAsia="宋体" w:cs="Times New Roman"/>
                      <w:bCs/>
                      <w:color w:val="auto"/>
                      <w:sz w:val="21"/>
                      <w:szCs w:val="21"/>
                      <w:lang w:val="en-US" w:eastAsia="zh-CN"/>
                    </w:rPr>
                    <w:t>19</w:t>
                  </w:r>
                </w:p>
              </w:tc>
            </w:tr>
            <w:tr w14:paraId="4EC972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327" w:type="dxa"/>
                  <w:vMerge w:val="restart"/>
                  <w:tcBorders>
                    <w:tl2br w:val="nil"/>
                    <w:tr2bl w:val="nil"/>
                  </w:tcBorders>
                  <w:noWrap w:val="0"/>
                  <w:vAlign w:val="center"/>
                </w:tcPr>
                <w:p w14:paraId="5F055F7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噪声</w:t>
                  </w:r>
                </w:p>
              </w:tc>
              <w:tc>
                <w:tcPr>
                  <w:tcW w:w="5867" w:type="dxa"/>
                  <w:tcBorders>
                    <w:tl2br w:val="nil"/>
                    <w:tr2bl w:val="nil"/>
                  </w:tcBorders>
                  <w:noWrap w:val="0"/>
                  <w:vAlign w:val="center"/>
                </w:tcPr>
                <w:p w14:paraId="0446B0C8">
                  <w:pPr>
                    <w:spacing w:line="300" w:lineRule="auto"/>
                    <w:jc w:val="center"/>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《工业企业厂界环境噪声排放标准》</w:t>
                  </w:r>
                </w:p>
              </w:tc>
              <w:tc>
                <w:tcPr>
                  <w:tcW w:w="1877" w:type="dxa"/>
                  <w:tcBorders>
                    <w:tl2br w:val="nil"/>
                    <w:tr2bl w:val="nil"/>
                  </w:tcBorders>
                  <w:noWrap w:val="0"/>
                  <w:vAlign w:val="center"/>
                </w:tcPr>
                <w:p w14:paraId="29389A28">
                  <w:pPr>
                    <w:spacing w:line="300" w:lineRule="auto"/>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GB</w:t>
                  </w:r>
                  <w:r>
                    <w:rPr>
                      <w:rFonts w:hint="default" w:ascii="Times New Roman" w:hAnsi="Times New Roman" w:eastAsia="宋体" w:cs="Times New Roman"/>
                      <w:bCs/>
                      <w:color w:val="auto"/>
                      <w:sz w:val="21"/>
                      <w:szCs w:val="21"/>
                      <w:lang w:val="en-US" w:eastAsia="zh-CN"/>
                    </w:rPr>
                    <w:t xml:space="preserve"> </w:t>
                  </w:r>
                  <w:r>
                    <w:rPr>
                      <w:rFonts w:hint="default" w:ascii="Times New Roman" w:hAnsi="Times New Roman" w:eastAsia="宋体" w:cs="Times New Roman"/>
                      <w:bCs/>
                      <w:color w:val="auto"/>
                      <w:sz w:val="21"/>
                      <w:szCs w:val="21"/>
                    </w:rPr>
                    <w:t>12348-2</w:t>
                  </w:r>
                  <w:r>
                    <w:rPr>
                      <w:rFonts w:hint="default" w:ascii="Times New Roman" w:hAnsi="Times New Roman" w:eastAsia="宋体" w:cs="Times New Roman"/>
                      <w:bCs/>
                      <w:color w:val="auto"/>
                      <w:sz w:val="21"/>
                      <w:szCs w:val="21"/>
                      <w:lang w:eastAsia="zh-CN"/>
                    </w:rPr>
                    <w:t>0</w:t>
                  </w:r>
                  <w:r>
                    <w:rPr>
                      <w:rFonts w:hint="default" w:ascii="Times New Roman" w:hAnsi="Times New Roman" w:eastAsia="宋体" w:cs="Times New Roman"/>
                      <w:bCs/>
                      <w:color w:val="auto"/>
                      <w:sz w:val="21"/>
                      <w:szCs w:val="21"/>
                      <w:lang w:val="en-US" w:eastAsia="zh-CN"/>
                    </w:rPr>
                    <w:t>08</w:t>
                  </w:r>
                  <w:r>
                    <w:rPr>
                      <w:rFonts w:hint="default" w:ascii="Times New Roman" w:hAnsi="Times New Roman" w:eastAsia="宋体" w:cs="Times New Roman"/>
                      <w:bCs/>
                      <w:color w:val="auto"/>
                      <w:sz w:val="21"/>
                      <w:szCs w:val="21"/>
                    </w:rPr>
                    <w:t xml:space="preserve"> </w:t>
                  </w:r>
                </w:p>
              </w:tc>
            </w:tr>
            <w:tr w14:paraId="38C82C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6" w:hRule="exact"/>
                <w:jc w:val="center"/>
              </w:trPr>
              <w:tc>
                <w:tcPr>
                  <w:tcW w:w="1327" w:type="dxa"/>
                  <w:vMerge w:val="continue"/>
                  <w:tcBorders>
                    <w:tl2br w:val="nil"/>
                    <w:tr2bl w:val="nil"/>
                  </w:tcBorders>
                  <w:noWrap w:val="0"/>
                  <w:vAlign w:val="center"/>
                </w:tcPr>
                <w:p w14:paraId="361AAD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bCs/>
                      <w:color w:val="auto"/>
                      <w:sz w:val="21"/>
                      <w:szCs w:val="21"/>
                      <w:lang w:val="en-US" w:eastAsia="zh-CN"/>
                    </w:rPr>
                  </w:pPr>
                </w:p>
              </w:tc>
              <w:tc>
                <w:tcPr>
                  <w:tcW w:w="5867" w:type="dxa"/>
                  <w:tcBorders>
                    <w:tl2br w:val="nil"/>
                    <w:tr2bl w:val="nil"/>
                  </w:tcBorders>
                  <w:noWrap w:val="0"/>
                  <w:vAlign w:val="center"/>
                </w:tcPr>
                <w:p w14:paraId="554DB66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eastAsia="zh-CN"/>
                    </w:rPr>
                    <w:t>《环境噪声监测技术规范噪声测量值修正》</w:t>
                  </w:r>
                </w:p>
              </w:tc>
              <w:tc>
                <w:tcPr>
                  <w:tcW w:w="1877" w:type="dxa"/>
                  <w:tcBorders>
                    <w:tl2br w:val="nil"/>
                    <w:tr2bl w:val="nil"/>
                  </w:tcBorders>
                  <w:noWrap w:val="0"/>
                  <w:vAlign w:val="center"/>
                </w:tcPr>
                <w:p w14:paraId="0B965DF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HJ 706-2014</w:t>
                  </w:r>
                </w:p>
              </w:tc>
            </w:tr>
          </w:tbl>
          <w:p w14:paraId="00736D36">
            <w:pPr>
              <w:spacing w:line="240" w:lineRule="auto"/>
              <w:jc w:val="center"/>
              <w:rPr>
                <w:rFonts w:hint="default" w:ascii="Times New Roman" w:hAnsi="Times New Roman" w:cs="Times New Roman"/>
                <w:b/>
                <w:bCs/>
                <w:color w:val="0000FF"/>
                <w:sz w:val="24"/>
                <w:szCs w:val="24"/>
                <w:lang w:val="en-US" w:eastAsia="zh-CN"/>
              </w:rPr>
            </w:pPr>
          </w:p>
          <w:p w14:paraId="23CF7200">
            <w:pPr>
              <w:spacing w:line="240" w:lineRule="auto"/>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表5-2 </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检测方法、方法来源</w:t>
            </w:r>
            <w:r>
              <w:rPr>
                <w:rFonts w:hint="eastAsia" w:cs="Times New Roman"/>
                <w:b/>
                <w:bCs/>
                <w:color w:val="auto"/>
                <w:sz w:val="24"/>
                <w:szCs w:val="24"/>
                <w:lang w:val="en-US" w:eastAsia="zh-CN"/>
              </w:rPr>
              <w:t>及设备</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139"/>
              <w:gridCol w:w="1222"/>
              <w:gridCol w:w="3114"/>
              <w:gridCol w:w="2570"/>
              <w:gridCol w:w="1026"/>
            </w:tblGrid>
            <w:tr w14:paraId="4C16A19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524" w:hRule="atLeast"/>
                <w:tblHeader/>
                <w:jc w:val="center"/>
              </w:trPr>
              <w:tc>
                <w:tcPr>
                  <w:tcW w:w="1139" w:type="dxa"/>
                  <w:tcBorders>
                    <w:tl2br w:val="nil"/>
                    <w:tr2bl w:val="nil"/>
                  </w:tcBorders>
                  <w:noWrap w:val="0"/>
                  <w:vAlign w:val="center"/>
                </w:tcPr>
                <w:p w14:paraId="0310CCD6">
                  <w:pPr>
                    <w:pStyle w:val="29"/>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类别</w:t>
                  </w:r>
                </w:p>
              </w:tc>
              <w:tc>
                <w:tcPr>
                  <w:tcW w:w="1222" w:type="dxa"/>
                  <w:tcBorders>
                    <w:tl2br w:val="nil"/>
                    <w:tr2bl w:val="nil"/>
                  </w:tcBorders>
                  <w:noWrap w:val="0"/>
                  <w:vAlign w:val="center"/>
                </w:tcPr>
                <w:p w14:paraId="4A5C590F">
                  <w:pPr>
                    <w:pStyle w:val="29"/>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w:t>
                  </w:r>
                </w:p>
              </w:tc>
              <w:tc>
                <w:tcPr>
                  <w:tcW w:w="3114" w:type="dxa"/>
                  <w:tcBorders>
                    <w:tl2br w:val="nil"/>
                    <w:tr2bl w:val="nil"/>
                  </w:tcBorders>
                  <w:noWrap w:val="0"/>
                  <w:vAlign w:val="center"/>
                </w:tcPr>
                <w:p w14:paraId="60621854">
                  <w:pPr>
                    <w:pStyle w:val="29"/>
                    <w:spacing w:before="0" w:beforeAutospacing="0" w:after="0" w:afterAutospacing="0" w:line="24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检测</w:t>
                  </w:r>
                  <w:r>
                    <w:rPr>
                      <w:rFonts w:hint="eastAsia" w:ascii="宋体" w:hAnsi="宋体" w:eastAsia="宋体" w:cs="宋体"/>
                      <w:color w:val="auto"/>
                      <w:sz w:val="21"/>
                      <w:szCs w:val="21"/>
                    </w:rPr>
                    <w:t>方法</w:t>
                  </w:r>
                  <w:r>
                    <w:rPr>
                      <w:rFonts w:hint="eastAsia" w:ascii="宋体" w:hAnsi="宋体" w:eastAsia="宋体" w:cs="宋体"/>
                      <w:color w:val="auto"/>
                      <w:sz w:val="21"/>
                      <w:szCs w:val="21"/>
                      <w:lang w:val="en-US" w:eastAsia="zh-CN"/>
                    </w:rPr>
                    <w:t>及方法来源</w:t>
                  </w:r>
                </w:p>
              </w:tc>
              <w:tc>
                <w:tcPr>
                  <w:tcW w:w="2570" w:type="dxa"/>
                  <w:tcBorders>
                    <w:tl2br w:val="nil"/>
                    <w:tr2bl w:val="nil"/>
                  </w:tcBorders>
                  <w:noWrap w:val="0"/>
                  <w:vAlign w:val="center"/>
                </w:tcPr>
                <w:p w14:paraId="5219439A">
                  <w:pPr>
                    <w:pStyle w:val="29"/>
                    <w:spacing w:before="0" w:beforeAutospacing="0" w:after="0" w:afterAutospacing="0" w:line="240" w:lineRule="auto"/>
                    <w:jc w:val="center"/>
                    <w:rPr>
                      <w:rFonts w:hint="eastAsia" w:ascii="宋体" w:hAnsi="宋体" w:eastAsia="宋体" w:cs="宋体"/>
                      <w:color w:val="auto"/>
                      <w:sz w:val="21"/>
                      <w:szCs w:val="21"/>
                    </w:rPr>
                  </w:pPr>
                  <w:r>
                    <w:rPr>
                      <w:rFonts w:hint="eastAsia" w:ascii="Times New Roman" w:hAnsi="Times New Roman" w:eastAsia="宋体" w:cs="Times New Roman"/>
                      <w:color w:val="auto"/>
                      <w:sz w:val="21"/>
                      <w:szCs w:val="21"/>
                      <w:lang w:eastAsia="zh-CN"/>
                    </w:rPr>
                    <w:t>设备名称、型号及编号</w:t>
                  </w:r>
                </w:p>
              </w:tc>
              <w:tc>
                <w:tcPr>
                  <w:tcW w:w="1026" w:type="dxa"/>
                  <w:tcBorders>
                    <w:tl2br w:val="nil"/>
                    <w:tr2bl w:val="nil"/>
                  </w:tcBorders>
                  <w:noWrap w:val="0"/>
                  <w:vAlign w:val="center"/>
                </w:tcPr>
                <w:p w14:paraId="4FA6A664">
                  <w:pPr>
                    <w:pStyle w:val="29"/>
                    <w:spacing w:before="0" w:beforeAutospacing="0" w:after="0" w:afterAutospacing="0"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检出限或</w:t>
                  </w:r>
                  <w:r>
                    <w:rPr>
                      <w:rFonts w:hint="eastAsia" w:ascii="宋体" w:hAnsi="宋体" w:eastAsia="宋体" w:cs="宋体"/>
                      <w:color w:val="auto"/>
                      <w:sz w:val="21"/>
                      <w:szCs w:val="21"/>
                      <w:lang w:eastAsia="zh-CN"/>
                    </w:rPr>
                    <w:t>检测</w:t>
                  </w:r>
                  <w:r>
                    <w:rPr>
                      <w:rFonts w:hint="eastAsia" w:ascii="宋体" w:hAnsi="宋体" w:eastAsia="宋体" w:cs="宋体"/>
                      <w:color w:val="auto"/>
                      <w:sz w:val="21"/>
                      <w:szCs w:val="21"/>
                    </w:rPr>
                    <w:t>范围</w:t>
                  </w:r>
                </w:p>
              </w:tc>
            </w:tr>
            <w:tr w14:paraId="7B4AFF6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54" w:hRule="atLeast"/>
                <w:jc w:val="center"/>
              </w:trPr>
              <w:tc>
                <w:tcPr>
                  <w:tcW w:w="1139" w:type="dxa"/>
                  <w:vMerge w:val="restart"/>
                  <w:tcBorders>
                    <w:tl2br w:val="nil"/>
                    <w:tr2bl w:val="nil"/>
                  </w:tcBorders>
                  <w:noWrap w:val="0"/>
                  <w:vAlign w:val="center"/>
                </w:tcPr>
                <w:p w14:paraId="0FE71B9F">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napToGrid w:val="0"/>
                      <w:color w:val="auto"/>
                      <w:sz w:val="21"/>
                      <w:szCs w:val="21"/>
                      <w:lang w:val="en-US" w:eastAsia="zh-CN"/>
                    </w:rPr>
                    <w:t>有组织</w:t>
                  </w:r>
                  <w:r>
                    <w:rPr>
                      <w:rFonts w:hint="eastAsia" w:ascii="宋体" w:hAnsi="宋体" w:eastAsia="宋体" w:cs="宋体"/>
                      <w:color w:val="auto"/>
                      <w:sz w:val="21"/>
                      <w:szCs w:val="21"/>
                      <w:lang w:val="en-US" w:eastAsia="zh-CN"/>
                    </w:rPr>
                    <w:t>废气</w:t>
                  </w:r>
                </w:p>
              </w:tc>
              <w:tc>
                <w:tcPr>
                  <w:tcW w:w="1222" w:type="dxa"/>
                  <w:tcBorders>
                    <w:tl2br w:val="nil"/>
                    <w:tr2bl w:val="nil"/>
                  </w:tcBorders>
                  <w:noWrap w:val="0"/>
                  <w:vAlign w:val="center"/>
                </w:tcPr>
                <w:p w14:paraId="04F2AFA0">
                  <w:pPr>
                    <w:jc w:val="center"/>
                    <w:rPr>
                      <w:rFonts w:hint="eastAsia" w:ascii="宋体" w:hAnsi="宋体" w:eastAsia="宋体" w:cs="宋体"/>
                      <w:color w:val="auto"/>
                      <w:kern w:val="2"/>
                      <w:position w:val="6"/>
                      <w:sz w:val="21"/>
                      <w:szCs w:val="21"/>
                      <w:lang w:val="en-US" w:eastAsia="zh-CN" w:bidi="ar-SA"/>
                    </w:rPr>
                  </w:pPr>
                  <w:r>
                    <w:rPr>
                      <w:rFonts w:hint="eastAsia" w:eastAsia="宋体"/>
                      <w:color w:val="auto"/>
                      <w:sz w:val="21"/>
                      <w:szCs w:val="21"/>
                      <w:lang w:eastAsia="zh-CN"/>
                    </w:rPr>
                    <w:t>颗粒物</w:t>
                  </w:r>
                </w:p>
              </w:tc>
              <w:tc>
                <w:tcPr>
                  <w:tcW w:w="3114" w:type="dxa"/>
                  <w:tcBorders>
                    <w:tl2br w:val="nil"/>
                    <w:tr2bl w:val="nil"/>
                  </w:tcBorders>
                  <w:noWrap w:val="0"/>
                  <w:vAlign w:val="center"/>
                </w:tcPr>
                <w:p w14:paraId="0C064FC7">
                  <w:pPr>
                    <w:jc w:val="center"/>
                    <w:rPr>
                      <w:rFonts w:hint="eastAsia" w:ascii="宋体" w:hAnsi="宋体" w:eastAsia="宋体" w:cs="宋体"/>
                      <w:bCs/>
                      <w:color w:val="auto"/>
                      <w:kern w:val="0"/>
                      <w:sz w:val="21"/>
                      <w:szCs w:val="21"/>
                      <w:lang w:val="en-US" w:eastAsia="zh-CN" w:bidi="ar-SA"/>
                    </w:rPr>
                  </w:pPr>
                  <w:r>
                    <w:rPr>
                      <w:rFonts w:hint="eastAsia"/>
                      <w:color w:val="auto"/>
                      <w:sz w:val="21"/>
                      <w:szCs w:val="21"/>
                      <w:lang w:val="en-US" w:eastAsia="zh-CN"/>
                    </w:rPr>
                    <w:t>固定污染源废气 低浓度颗粒物的测定  重量法</w:t>
                  </w:r>
                  <w:r>
                    <w:rPr>
                      <w:bCs/>
                      <w:color w:val="auto"/>
                      <w:sz w:val="21"/>
                      <w:szCs w:val="21"/>
                    </w:rPr>
                    <w:t xml:space="preserve">HJ </w:t>
                  </w:r>
                  <w:r>
                    <w:rPr>
                      <w:rFonts w:hint="eastAsia" w:ascii="Times New Roman" w:hAnsi="Times New Roman"/>
                      <w:bCs/>
                      <w:color w:val="auto"/>
                      <w:sz w:val="21"/>
                      <w:szCs w:val="21"/>
                      <w:lang w:val="en-US" w:eastAsia="zh-CN"/>
                    </w:rPr>
                    <w:t>836</w:t>
                  </w:r>
                  <w:r>
                    <w:rPr>
                      <w:bCs/>
                      <w:color w:val="auto"/>
                      <w:sz w:val="21"/>
                      <w:szCs w:val="21"/>
                    </w:rPr>
                    <w:t>-</w:t>
                  </w:r>
                  <w:r>
                    <w:rPr>
                      <w:rFonts w:hint="eastAsia" w:ascii="Times New Roman" w:hAnsi="Times New Roman"/>
                      <w:bCs/>
                      <w:color w:val="auto"/>
                      <w:sz w:val="21"/>
                      <w:szCs w:val="21"/>
                      <w:lang w:val="en-US" w:eastAsia="zh-CN"/>
                    </w:rPr>
                    <w:t>2017</w:t>
                  </w:r>
                </w:p>
              </w:tc>
              <w:tc>
                <w:tcPr>
                  <w:tcW w:w="2570" w:type="dxa"/>
                  <w:tcBorders>
                    <w:tl2br w:val="nil"/>
                    <w:tr2bl w:val="nil"/>
                  </w:tcBorders>
                  <w:noWrap w:val="0"/>
                  <w:vAlign w:val="center"/>
                </w:tcPr>
                <w:p w14:paraId="24A78271">
                  <w:pPr>
                    <w:jc w:val="center"/>
                    <w:rPr>
                      <w:rFonts w:hint="default"/>
                      <w:color w:val="auto"/>
                      <w:lang w:val="en-US" w:eastAsia="zh-CN"/>
                    </w:rPr>
                  </w:pPr>
                  <w:r>
                    <w:rPr>
                      <w:rFonts w:hint="default"/>
                      <w:color w:val="auto"/>
                      <w:lang w:val="en-US" w:eastAsia="zh-CN"/>
                    </w:rPr>
                    <w:t>AUW120D</w:t>
                  </w:r>
                </w:p>
                <w:p w14:paraId="4B05ED42">
                  <w:pPr>
                    <w:jc w:val="center"/>
                    <w:rPr>
                      <w:rFonts w:hint="default"/>
                      <w:color w:val="auto"/>
                      <w:lang w:val="en-US" w:eastAsia="zh-CN"/>
                    </w:rPr>
                  </w:pPr>
                  <w:r>
                    <w:rPr>
                      <w:rFonts w:hint="default"/>
                      <w:color w:val="auto"/>
                      <w:lang w:val="en-US" w:eastAsia="zh-CN"/>
                    </w:rPr>
                    <w:t>十万分之一分析天平201410063</w:t>
                  </w:r>
                </w:p>
                <w:p w14:paraId="6702827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YQ3000</w:t>
                  </w:r>
                  <w:r>
                    <w:rPr>
                      <w:rFonts w:hint="eastAsia" w:ascii="Times New Roman" w:hAnsi="Times New Roman" w:eastAsia="宋体" w:cs="Times New Roman"/>
                      <w:i w:val="0"/>
                      <w:color w:val="auto"/>
                      <w:kern w:val="0"/>
                      <w:sz w:val="21"/>
                      <w:szCs w:val="21"/>
                      <w:u w:val="none"/>
                      <w:lang w:val="en-US" w:eastAsia="zh-CN" w:bidi="ar"/>
                    </w:rPr>
                    <w:t>-</w:t>
                  </w:r>
                  <w:r>
                    <w:rPr>
                      <w:rFonts w:hint="default" w:ascii="Times New Roman" w:hAnsi="Times New Roman" w:eastAsia="宋体" w:cs="Times New Roman"/>
                      <w:i w:val="0"/>
                      <w:color w:val="auto"/>
                      <w:kern w:val="0"/>
                      <w:sz w:val="21"/>
                      <w:szCs w:val="21"/>
                      <w:u w:val="none"/>
                      <w:lang w:val="en-US" w:eastAsia="zh-CN" w:bidi="ar"/>
                    </w:rPr>
                    <w:t>D大流量烟尘（气）测试仪201410066</w:t>
                  </w:r>
                </w:p>
              </w:tc>
              <w:tc>
                <w:tcPr>
                  <w:tcW w:w="1026" w:type="dxa"/>
                  <w:tcBorders>
                    <w:tl2br w:val="nil"/>
                    <w:tr2bl w:val="nil"/>
                  </w:tcBorders>
                  <w:noWrap w:val="0"/>
                  <w:vAlign w:val="center"/>
                </w:tcPr>
                <w:p w14:paraId="3E1D768C">
                  <w:pPr>
                    <w:jc w:val="center"/>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r>
                    <w:rPr>
                      <w:rFonts w:hint="eastAsia" w:eastAsia="宋体"/>
                      <w:color w:val="auto"/>
                      <w:sz w:val="21"/>
                      <w:szCs w:val="21"/>
                      <w:lang w:val="en-US" w:eastAsia="zh-CN"/>
                    </w:rPr>
                    <w:t>.</w:t>
                  </w:r>
                  <w:r>
                    <w:rPr>
                      <w:rFonts w:hint="eastAsia" w:ascii="Times New Roman" w:hAnsi="Times New Roman" w:eastAsia="宋体"/>
                      <w:color w:val="auto"/>
                      <w:sz w:val="21"/>
                      <w:szCs w:val="21"/>
                      <w:lang w:val="en-US" w:eastAsia="zh-CN"/>
                    </w:rPr>
                    <w:t>0</w:t>
                  </w:r>
                </w:p>
                <w:p w14:paraId="176918C7">
                  <w:pPr>
                    <w:jc w:val="center"/>
                    <w:rPr>
                      <w:rFonts w:hint="eastAsia" w:ascii="宋体" w:hAnsi="宋体" w:eastAsia="宋体" w:cs="宋体"/>
                      <w:bCs/>
                      <w:color w:val="auto"/>
                      <w:kern w:val="0"/>
                      <w:sz w:val="21"/>
                      <w:szCs w:val="21"/>
                      <w:lang w:val="en-US" w:eastAsia="zh-CN" w:bidi="ar-SA"/>
                    </w:rPr>
                  </w:pPr>
                  <w:r>
                    <w:rPr>
                      <w:color w:val="auto"/>
                      <w:sz w:val="21"/>
                      <w:szCs w:val="21"/>
                    </w:rPr>
                    <w:t>mg/m</w:t>
                  </w:r>
                  <w:r>
                    <w:rPr>
                      <w:rFonts w:ascii="Times New Roman" w:hAnsi="Times New Roman"/>
                      <w:color w:val="auto"/>
                      <w:sz w:val="21"/>
                      <w:szCs w:val="21"/>
                      <w:vertAlign w:val="superscript"/>
                    </w:rPr>
                    <w:t>3</w:t>
                  </w:r>
                </w:p>
              </w:tc>
            </w:tr>
            <w:tr w14:paraId="10A756E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05BD9872">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3CB3742C">
                  <w:pPr>
                    <w:jc w:val="center"/>
                    <w:rPr>
                      <w:rFonts w:hint="default" w:eastAsia="宋体"/>
                      <w:color w:val="auto"/>
                      <w:sz w:val="21"/>
                      <w:szCs w:val="21"/>
                      <w:lang w:val="en-US" w:eastAsia="zh-CN"/>
                    </w:rPr>
                  </w:pPr>
                  <w:r>
                    <w:rPr>
                      <w:rFonts w:hint="eastAsia" w:eastAsia="宋体"/>
                      <w:color w:val="auto"/>
                      <w:sz w:val="21"/>
                      <w:szCs w:val="21"/>
                      <w:lang w:val="en-US" w:eastAsia="zh-CN"/>
                    </w:rPr>
                    <w:t>非甲烷总烃</w:t>
                  </w:r>
                </w:p>
              </w:tc>
              <w:tc>
                <w:tcPr>
                  <w:tcW w:w="3114" w:type="dxa"/>
                  <w:tcBorders>
                    <w:tl2br w:val="nil"/>
                    <w:tr2bl w:val="nil"/>
                  </w:tcBorders>
                  <w:noWrap w:val="0"/>
                  <w:vAlign w:val="center"/>
                </w:tcPr>
                <w:p w14:paraId="12AA2B56">
                  <w:pPr>
                    <w:jc w:val="center"/>
                    <w:rPr>
                      <w:rFonts w:hint="default" w:eastAsia="宋体"/>
                      <w:color w:val="auto"/>
                      <w:sz w:val="21"/>
                      <w:szCs w:val="21"/>
                      <w:lang w:val="en-US" w:eastAsia="zh-CN"/>
                    </w:rPr>
                  </w:pPr>
                  <w:r>
                    <w:rPr>
                      <w:rFonts w:hint="eastAsia"/>
                      <w:color w:val="auto"/>
                      <w:sz w:val="21"/>
                      <w:szCs w:val="21"/>
                      <w:lang w:val="en-US" w:eastAsia="zh-CN"/>
                    </w:rPr>
                    <w:t>固定污染源废气   总烃、甲烷和非甲烷总烃的测定  气相色谱法   HJ38-2017</w:t>
                  </w:r>
                </w:p>
              </w:tc>
              <w:tc>
                <w:tcPr>
                  <w:tcW w:w="2570" w:type="dxa"/>
                  <w:tcBorders>
                    <w:tl2br w:val="nil"/>
                    <w:tr2bl w:val="nil"/>
                  </w:tcBorders>
                  <w:noWrap w:val="0"/>
                  <w:vAlign w:val="center"/>
                </w:tcPr>
                <w:p w14:paraId="652D7145">
                  <w:pPr>
                    <w:pStyle w:val="17"/>
                    <w:adjustRightInd w:val="0"/>
                    <w:snapToGrid w:val="0"/>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G5 气相色谱仪  SPKJ/YQ002</w:t>
                  </w:r>
                </w:p>
                <w:p w14:paraId="71BE169B">
                  <w:pPr>
                    <w:pStyle w:val="17"/>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YQ3000</w:t>
                  </w:r>
                  <w:r>
                    <w:rPr>
                      <w:rFonts w:hint="eastAsia" w:ascii="Times New Roman" w:hAnsi="Times New Roman" w:eastAsia="宋体" w:cs="Times New Roman"/>
                      <w:i w:val="0"/>
                      <w:color w:val="auto"/>
                      <w:kern w:val="0"/>
                      <w:sz w:val="21"/>
                      <w:szCs w:val="21"/>
                      <w:u w:val="none"/>
                      <w:lang w:val="en-US" w:eastAsia="zh-CN" w:bidi="ar"/>
                    </w:rPr>
                    <w:t>-</w:t>
                  </w:r>
                  <w:r>
                    <w:rPr>
                      <w:rFonts w:hint="default" w:ascii="Times New Roman" w:hAnsi="Times New Roman" w:eastAsia="宋体" w:cs="Times New Roman"/>
                      <w:i w:val="0"/>
                      <w:color w:val="auto"/>
                      <w:kern w:val="0"/>
                      <w:sz w:val="21"/>
                      <w:szCs w:val="21"/>
                      <w:u w:val="none"/>
                      <w:lang w:val="en-US" w:eastAsia="zh-CN" w:bidi="ar"/>
                    </w:rPr>
                    <w:t>D大流量烟尘（气）测试仪201410066</w:t>
                  </w:r>
                </w:p>
              </w:tc>
              <w:tc>
                <w:tcPr>
                  <w:tcW w:w="1026" w:type="dxa"/>
                  <w:tcBorders>
                    <w:tl2br w:val="nil"/>
                    <w:tr2bl w:val="nil"/>
                  </w:tcBorders>
                  <w:noWrap w:val="0"/>
                  <w:vAlign w:val="center"/>
                </w:tcPr>
                <w:p w14:paraId="0739B837">
                  <w:pPr>
                    <w:spacing w:line="240" w:lineRule="auto"/>
                    <w:jc w:val="center"/>
                    <w:rPr>
                      <w:rFonts w:hint="eastAsia"/>
                      <w:color w:val="auto"/>
                      <w:sz w:val="21"/>
                      <w:szCs w:val="21"/>
                      <w:lang w:val="en-US" w:eastAsia="zh-CN"/>
                    </w:rPr>
                  </w:pPr>
                  <w:r>
                    <w:rPr>
                      <w:rFonts w:hint="eastAsia"/>
                      <w:color w:val="auto"/>
                      <w:sz w:val="21"/>
                      <w:szCs w:val="21"/>
                      <w:lang w:val="en-US" w:eastAsia="zh-CN"/>
                    </w:rPr>
                    <w:t>0.07</w:t>
                  </w:r>
                </w:p>
                <w:p w14:paraId="1979DEFA">
                  <w:pPr>
                    <w:spacing w:line="240" w:lineRule="auto"/>
                    <w:jc w:val="center"/>
                    <w:rPr>
                      <w:rFonts w:hint="default"/>
                      <w:color w:val="auto"/>
                      <w:sz w:val="21"/>
                      <w:szCs w:val="21"/>
                      <w:lang w:val="en-US" w:eastAsia="zh-CN"/>
                    </w:rPr>
                  </w:pPr>
                  <w:r>
                    <w:rPr>
                      <w:color w:val="auto"/>
                      <w:sz w:val="21"/>
                      <w:szCs w:val="21"/>
                    </w:rPr>
                    <w:t>mg/m</w:t>
                  </w:r>
                  <w:r>
                    <w:rPr>
                      <w:rFonts w:ascii="Times New Roman" w:hAnsi="Times New Roman"/>
                      <w:color w:val="auto"/>
                      <w:sz w:val="21"/>
                      <w:szCs w:val="21"/>
                      <w:vertAlign w:val="superscript"/>
                    </w:rPr>
                    <w:t>3</w:t>
                  </w:r>
                </w:p>
              </w:tc>
            </w:tr>
            <w:tr w14:paraId="7C44AB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478CCF28">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566EAB61">
                  <w:pPr>
                    <w:jc w:val="center"/>
                    <w:rPr>
                      <w:rFonts w:hint="eastAsia" w:eastAsia="宋体"/>
                      <w:color w:val="auto"/>
                      <w:sz w:val="21"/>
                      <w:szCs w:val="21"/>
                      <w:lang w:val="en-US" w:eastAsia="zh-CN"/>
                    </w:rPr>
                  </w:pPr>
                  <w:r>
                    <w:rPr>
                      <w:color w:val="auto"/>
                      <w:sz w:val="21"/>
                      <w:szCs w:val="21"/>
                    </w:rPr>
                    <w:t>二氧化硫</w:t>
                  </w:r>
                </w:p>
              </w:tc>
              <w:tc>
                <w:tcPr>
                  <w:tcW w:w="3114" w:type="dxa"/>
                  <w:tcBorders>
                    <w:tl2br w:val="nil"/>
                    <w:tr2bl w:val="nil"/>
                  </w:tcBorders>
                  <w:noWrap w:val="0"/>
                  <w:vAlign w:val="center"/>
                </w:tcPr>
                <w:p w14:paraId="2B7135D0">
                  <w:pPr>
                    <w:jc w:val="center"/>
                    <w:rPr>
                      <w:rFonts w:hint="eastAsia"/>
                      <w:color w:val="auto"/>
                      <w:sz w:val="21"/>
                      <w:szCs w:val="21"/>
                      <w:lang w:val="en-US" w:eastAsia="zh-CN"/>
                    </w:rPr>
                  </w:pPr>
                  <w:r>
                    <w:rPr>
                      <w:rFonts w:hint="eastAsia"/>
                      <w:color w:val="auto"/>
                      <w:sz w:val="21"/>
                      <w:szCs w:val="21"/>
                      <w:lang w:val="en-US" w:eastAsia="zh-CN"/>
                    </w:rPr>
                    <w:t xml:space="preserve">固定污染源废气  二氧化硫的测定  </w:t>
                  </w:r>
                  <w:r>
                    <w:rPr>
                      <w:color w:val="auto"/>
                      <w:sz w:val="21"/>
                      <w:szCs w:val="21"/>
                    </w:rPr>
                    <w:t>定电位电解法HJ</w:t>
                  </w:r>
                  <w:r>
                    <w:rPr>
                      <w:rFonts w:hint="eastAsia"/>
                      <w:color w:val="auto"/>
                      <w:sz w:val="21"/>
                      <w:szCs w:val="21"/>
                      <w:lang w:val="en-US" w:eastAsia="zh-CN"/>
                    </w:rPr>
                    <w:t xml:space="preserve"> </w:t>
                  </w:r>
                  <w:r>
                    <w:rPr>
                      <w:color w:val="auto"/>
                      <w:sz w:val="21"/>
                      <w:szCs w:val="21"/>
                    </w:rPr>
                    <w:t xml:space="preserve"> </w:t>
                  </w:r>
                  <w:r>
                    <w:rPr>
                      <w:rFonts w:ascii="Times New Roman" w:hAnsi="Times New Roman"/>
                      <w:color w:val="auto"/>
                      <w:sz w:val="21"/>
                      <w:szCs w:val="21"/>
                    </w:rPr>
                    <w:t>57</w:t>
                  </w:r>
                  <w:r>
                    <w:rPr>
                      <w:color w:val="auto"/>
                      <w:sz w:val="21"/>
                      <w:szCs w:val="21"/>
                    </w:rPr>
                    <w:t>-</w:t>
                  </w:r>
                  <w:r>
                    <w:rPr>
                      <w:rFonts w:ascii="Times New Roman" w:hAnsi="Times New Roman"/>
                      <w:color w:val="auto"/>
                      <w:sz w:val="21"/>
                      <w:szCs w:val="21"/>
                    </w:rPr>
                    <w:t>20</w:t>
                  </w:r>
                  <w:r>
                    <w:rPr>
                      <w:rFonts w:hint="eastAsia" w:ascii="Times New Roman" w:hAnsi="Times New Roman"/>
                      <w:color w:val="auto"/>
                      <w:sz w:val="21"/>
                      <w:szCs w:val="21"/>
                      <w:lang w:val="en-US" w:eastAsia="zh-CN"/>
                    </w:rPr>
                    <w:t>17</w:t>
                  </w:r>
                </w:p>
              </w:tc>
              <w:tc>
                <w:tcPr>
                  <w:tcW w:w="2570" w:type="dxa"/>
                  <w:vMerge w:val="restart"/>
                  <w:tcBorders>
                    <w:tl2br w:val="nil"/>
                    <w:tr2bl w:val="nil"/>
                  </w:tcBorders>
                  <w:noWrap w:val="0"/>
                  <w:vAlign w:val="center"/>
                </w:tcPr>
                <w:p w14:paraId="792B8A91">
                  <w:pPr>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TESTO350</w:t>
                  </w:r>
                  <w:r>
                    <w:rPr>
                      <w:rFonts w:hint="eastAsia" w:ascii="Times New Roman" w:hAnsi="Times New Roman" w:eastAsia="宋体" w:cs="Times New Roman"/>
                      <w:i w:val="0"/>
                      <w:color w:val="000000"/>
                      <w:kern w:val="0"/>
                      <w:sz w:val="21"/>
                      <w:szCs w:val="21"/>
                      <w:u w:val="none"/>
                      <w:lang w:val="en-US" w:eastAsia="zh-CN" w:bidi="ar"/>
                    </w:rPr>
                    <w:t>加强型烟气分析仪</w:t>
                  </w:r>
                  <w:r>
                    <w:rPr>
                      <w:rFonts w:hint="default" w:ascii="Times New Roman" w:hAnsi="Times New Roman" w:eastAsia="宋体" w:cs="Times New Roman"/>
                      <w:i w:val="0"/>
                      <w:color w:val="000000"/>
                      <w:kern w:val="0"/>
                      <w:sz w:val="21"/>
                      <w:szCs w:val="21"/>
                      <w:u w:val="none"/>
                      <w:lang w:val="en-US" w:eastAsia="zh-CN" w:bidi="ar"/>
                    </w:rPr>
                    <w:t>2014100</w:t>
                  </w:r>
                  <w:r>
                    <w:rPr>
                      <w:rFonts w:hint="eastAsia" w:ascii="Times New Roman" w:hAnsi="Times New Roman" w:eastAsia="宋体" w:cs="Times New Roman"/>
                      <w:i w:val="0"/>
                      <w:color w:val="000000"/>
                      <w:kern w:val="0"/>
                      <w:sz w:val="21"/>
                      <w:szCs w:val="21"/>
                      <w:u w:val="none"/>
                      <w:lang w:val="en-US" w:eastAsia="zh-CN" w:bidi="ar"/>
                    </w:rPr>
                    <w:t>79、</w:t>
                  </w:r>
                  <w:r>
                    <w:rPr>
                      <w:rFonts w:hint="default" w:ascii="Times New Roman" w:hAnsi="Times New Roman" w:eastAsia="宋体" w:cs="Times New Roman"/>
                      <w:i w:val="0"/>
                      <w:color w:val="000000"/>
                      <w:kern w:val="0"/>
                      <w:sz w:val="21"/>
                      <w:szCs w:val="21"/>
                      <w:u w:val="none"/>
                      <w:lang w:val="en-US" w:eastAsia="zh-CN" w:bidi="ar"/>
                    </w:rPr>
                    <w:t>YQ3000</w:t>
                  </w:r>
                  <w:r>
                    <w:rPr>
                      <w:rFonts w:hint="eastAsia" w:ascii="Times New Roman" w:hAnsi="Times New Roman" w:eastAsia="宋体" w:cs="Times New Roman"/>
                      <w:i w:val="0"/>
                      <w:color w:val="000000"/>
                      <w:kern w:val="0"/>
                      <w:sz w:val="21"/>
                      <w:szCs w:val="21"/>
                      <w:u w:val="none"/>
                      <w:lang w:val="en-US" w:eastAsia="zh-CN" w:bidi="ar"/>
                    </w:rPr>
                    <w:t>-</w:t>
                  </w:r>
                  <w:r>
                    <w:rPr>
                      <w:rFonts w:hint="default" w:ascii="Times New Roman" w:hAnsi="Times New Roman" w:eastAsia="宋体" w:cs="Times New Roman"/>
                      <w:i w:val="0"/>
                      <w:color w:val="000000"/>
                      <w:kern w:val="0"/>
                      <w:sz w:val="21"/>
                      <w:szCs w:val="21"/>
                      <w:u w:val="none"/>
                      <w:lang w:val="en-US" w:eastAsia="zh-CN" w:bidi="ar"/>
                    </w:rPr>
                    <w:t>D大流量烟尘（气）测试仪201410066</w:t>
                  </w:r>
                </w:p>
              </w:tc>
              <w:tc>
                <w:tcPr>
                  <w:tcW w:w="1026" w:type="dxa"/>
                  <w:tcBorders>
                    <w:tl2br w:val="nil"/>
                    <w:tr2bl w:val="nil"/>
                  </w:tcBorders>
                  <w:noWrap w:val="0"/>
                  <w:vAlign w:val="center"/>
                </w:tcPr>
                <w:p w14:paraId="0E846ABE">
                  <w:pPr>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3</w:t>
                  </w:r>
                </w:p>
                <w:p w14:paraId="2F1689F9">
                  <w:pPr>
                    <w:jc w:val="center"/>
                    <w:rPr>
                      <w:rFonts w:hint="eastAsia"/>
                      <w:color w:val="auto"/>
                      <w:sz w:val="21"/>
                      <w:szCs w:val="21"/>
                      <w:lang w:val="en-US" w:eastAsia="zh-CN"/>
                    </w:rPr>
                  </w:pPr>
                  <w:r>
                    <w:rPr>
                      <w:color w:val="000000"/>
                      <w:sz w:val="21"/>
                      <w:szCs w:val="21"/>
                    </w:rPr>
                    <w:t>mg/m</w:t>
                  </w:r>
                  <w:r>
                    <w:rPr>
                      <w:rFonts w:ascii="Times New Roman" w:hAnsi="Times New Roman"/>
                      <w:color w:val="000000"/>
                      <w:sz w:val="21"/>
                      <w:szCs w:val="21"/>
                      <w:vertAlign w:val="superscript"/>
                    </w:rPr>
                    <w:t>3</w:t>
                  </w:r>
                </w:p>
              </w:tc>
            </w:tr>
            <w:tr w14:paraId="648D62C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5D48BF55">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26CEF0AD">
                  <w:pPr>
                    <w:jc w:val="center"/>
                    <w:rPr>
                      <w:rFonts w:hint="eastAsia" w:eastAsia="宋体"/>
                      <w:color w:val="auto"/>
                      <w:sz w:val="21"/>
                      <w:szCs w:val="21"/>
                      <w:lang w:val="en-US" w:eastAsia="zh-CN"/>
                    </w:rPr>
                  </w:pPr>
                  <w:r>
                    <w:rPr>
                      <w:rFonts w:hint="eastAsia" w:eastAsia="宋体"/>
                      <w:color w:val="auto"/>
                      <w:sz w:val="21"/>
                      <w:szCs w:val="21"/>
                      <w:lang w:eastAsia="zh-CN"/>
                    </w:rPr>
                    <w:t>氮氧化物</w:t>
                  </w:r>
                </w:p>
              </w:tc>
              <w:tc>
                <w:tcPr>
                  <w:tcW w:w="3114" w:type="dxa"/>
                  <w:tcBorders>
                    <w:tl2br w:val="nil"/>
                    <w:tr2bl w:val="nil"/>
                  </w:tcBorders>
                  <w:noWrap w:val="0"/>
                  <w:vAlign w:val="center"/>
                </w:tcPr>
                <w:p w14:paraId="78CD21FC">
                  <w:pPr>
                    <w:jc w:val="center"/>
                    <w:rPr>
                      <w:rFonts w:hint="eastAsia"/>
                      <w:color w:val="auto"/>
                      <w:sz w:val="21"/>
                      <w:szCs w:val="21"/>
                      <w:lang w:val="en-US" w:eastAsia="zh-CN"/>
                    </w:rPr>
                  </w:pPr>
                  <w:r>
                    <w:rPr>
                      <w:rFonts w:hint="eastAsia"/>
                      <w:color w:val="auto"/>
                      <w:sz w:val="21"/>
                      <w:szCs w:val="21"/>
                      <w:lang w:val="en-US" w:eastAsia="zh-CN"/>
                    </w:rPr>
                    <w:t xml:space="preserve">固定污染源废气  氮氧化物的测定 </w:t>
                  </w:r>
                  <w:r>
                    <w:rPr>
                      <w:color w:val="auto"/>
                      <w:sz w:val="21"/>
                      <w:szCs w:val="21"/>
                    </w:rPr>
                    <w:t xml:space="preserve">定电位电解法HJ </w:t>
                  </w:r>
                  <w:r>
                    <w:rPr>
                      <w:rFonts w:ascii="Times New Roman" w:hAnsi="Times New Roman"/>
                      <w:color w:val="auto"/>
                      <w:sz w:val="21"/>
                      <w:szCs w:val="21"/>
                    </w:rPr>
                    <w:t>693</w:t>
                  </w:r>
                  <w:r>
                    <w:rPr>
                      <w:color w:val="auto"/>
                      <w:sz w:val="21"/>
                      <w:szCs w:val="21"/>
                    </w:rPr>
                    <w:t>-</w:t>
                  </w:r>
                  <w:r>
                    <w:rPr>
                      <w:rFonts w:ascii="Times New Roman" w:hAnsi="Times New Roman"/>
                      <w:color w:val="auto"/>
                      <w:sz w:val="21"/>
                      <w:szCs w:val="21"/>
                    </w:rPr>
                    <w:t>2014</w:t>
                  </w:r>
                </w:p>
              </w:tc>
              <w:tc>
                <w:tcPr>
                  <w:tcW w:w="2570" w:type="dxa"/>
                  <w:vMerge w:val="continue"/>
                  <w:tcBorders>
                    <w:tl2br w:val="nil"/>
                    <w:tr2bl w:val="nil"/>
                  </w:tcBorders>
                  <w:noWrap w:val="0"/>
                  <w:vAlign w:val="center"/>
                </w:tcPr>
                <w:p w14:paraId="7F643709">
                  <w:pPr>
                    <w:jc w:val="center"/>
                    <w:rPr>
                      <w:rFonts w:hint="default" w:ascii="Times New Roman" w:hAnsi="Times New Roman" w:eastAsia="宋体" w:cs="Times New Roman"/>
                      <w:i w:val="0"/>
                      <w:color w:val="auto"/>
                      <w:kern w:val="0"/>
                      <w:sz w:val="21"/>
                      <w:szCs w:val="21"/>
                      <w:u w:val="none"/>
                      <w:lang w:val="en-US" w:eastAsia="zh-CN" w:bidi="ar"/>
                    </w:rPr>
                  </w:pPr>
                </w:p>
              </w:tc>
              <w:tc>
                <w:tcPr>
                  <w:tcW w:w="1026" w:type="dxa"/>
                  <w:tcBorders>
                    <w:tl2br w:val="nil"/>
                    <w:tr2bl w:val="nil"/>
                  </w:tcBorders>
                  <w:noWrap w:val="0"/>
                  <w:vAlign w:val="center"/>
                </w:tcPr>
                <w:p w14:paraId="68238958">
                  <w:pPr>
                    <w:jc w:val="center"/>
                    <w:rPr>
                      <w:rFonts w:hint="eastAsia"/>
                      <w:color w:val="auto"/>
                      <w:sz w:val="21"/>
                      <w:szCs w:val="21"/>
                      <w:lang w:val="en-US" w:eastAsia="zh-CN"/>
                    </w:rPr>
                  </w:pPr>
                  <w:r>
                    <w:rPr>
                      <w:rFonts w:hint="eastAsia"/>
                      <w:color w:val="auto"/>
                      <w:sz w:val="21"/>
                      <w:szCs w:val="21"/>
                      <w:lang w:val="en-US" w:eastAsia="zh-CN"/>
                    </w:rPr>
                    <w:t>3</w:t>
                  </w:r>
                </w:p>
                <w:p w14:paraId="4113CF78">
                  <w:pPr>
                    <w:jc w:val="center"/>
                    <w:rPr>
                      <w:rFonts w:hint="eastAsia"/>
                      <w:color w:val="auto"/>
                      <w:sz w:val="21"/>
                      <w:szCs w:val="21"/>
                      <w:lang w:val="en-US" w:eastAsia="zh-CN"/>
                    </w:rPr>
                  </w:pPr>
                  <w:r>
                    <w:rPr>
                      <w:sz w:val="21"/>
                      <w:szCs w:val="21"/>
                    </w:rPr>
                    <w:t>mg/m</w:t>
                  </w:r>
                  <w:r>
                    <w:rPr>
                      <w:rFonts w:ascii="Times New Roman" w:hAnsi="Times New Roman"/>
                      <w:sz w:val="21"/>
                      <w:szCs w:val="21"/>
                      <w:vertAlign w:val="superscript"/>
                    </w:rPr>
                    <w:t>3</w:t>
                  </w:r>
                </w:p>
              </w:tc>
            </w:tr>
            <w:tr w14:paraId="6A79AF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57D02672">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3227EB9C">
                  <w:pPr>
                    <w:jc w:val="center"/>
                    <w:rPr>
                      <w:rFonts w:hint="eastAsia" w:eastAsia="宋体"/>
                      <w:color w:val="auto"/>
                      <w:sz w:val="21"/>
                      <w:szCs w:val="21"/>
                      <w:lang w:val="en-US" w:eastAsia="zh-CN"/>
                    </w:rPr>
                  </w:pPr>
                  <w:r>
                    <w:rPr>
                      <w:rFonts w:hint="eastAsia" w:eastAsia="宋体"/>
                      <w:color w:val="auto"/>
                      <w:sz w:val="21"/>
                      <w:szCs w:val="21"/>
                      <w:lang w:val="en-US" w:eastAsia="zh-CN"/>
                    </w:rPr>
                    <w:t>烟气黑度</w:t>
                  </w:r>
                </w:p>
              </w:tc>
              <w:tc>
                <w:tcPr>
                  <w:tcW w:w="3114" w:type="dxa"/>
                  <w:tcBorders>
                    <w:tl2br w:val="nil"/>
                    <w:tr2bl w:val="nil"/>
                  </w:tcBorders>
                  <w:noWrap w:val="0"/>
                  <w:vAlign w:val="center"/>
                </w:tcPr>
                <w:p w14:paraId="45DB1E67">
                  <w:pPr>
                    <w:jc w:val="center"/>
                    <w:rPr>
                      <w:rFonts w:hint="eastAsia"/>
                      <w:color w:val="auto"/>
                      <w:sz w:val="21"/>
                      <w:szCs w:val="21"/>
                      <w:lang w:val="en-US" w:eastAsia="zh-CN"/>
                    </w:rPr>
                  </w:pPr>
                  <w:r>
                    <w:rPr>
                      <w:rFonts w:hint="eastAsia" w:ascii="Times New Roman" w:hAnsi="Times New Roman" w:eastAsia="宋体" w:cs="Times New Roman"/>
                      <w:szCs w:val="21"/>
                    </w:rPr>
                    <w:t>固定污染源废气 烟气黑度的测定林格曼望远镜法 HJ 1287-2023</w:t>
                  </w:r>
                </w:p>
              </w:tc>
              <w:tc>
                <w:tcPr>
                  <w:tcW w:w="2570" w:type="dxa"/>
                  <w:tcBorders>
                    <w:tl2br w:val="nil"/>
                    <w:tr2bl w:val="nil"/>
                  </w:tcBorders>
                  <w:noWrap w:val="0"/>
                  <w:vAlign w:val="center"/>
                </w:tcPr>
                <w:p w14:paraId="5BC6EDA6">
                  <w:pPr>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000000"/>
                      <w:kern w:val="0"/>
                      <w:sz w:val="21"/>
                      <w:szCs w:val="21"/>
                      <w:u w:val="none"/>
                      <w:lang w:val="en-US" w:eastAsia="zh-CN" w:bidi="ar"/>
                    </w:rPr>
                    <w:t>QT-203A烟尘黑度仪201410035</w:t>
                  </w:r>
                </w:p>
              </w:tc>
              <w:tc>
                <w:tcPr>
                  <w:tcW w:w="1026" w:type="dxa"/>
                  <w:tcBorders>
                    <w:tl2br w:val="nil"/>
                    <w:tr2bl w:val="nil"/>
                  </w:tcBorders>
                  <w:noWrap w:val="0"/>
                  <w:vAlign w:val="center"/>
                </w:tcPr>
                <w:p w14:paraId="3500160C">
                  <w:pPr>
                    <w:jc w:val="center"/>
                    <w:rPr>
                      <w:rFonts w:hint="eastAsia"/>
                      <w:color w:val="auto"/>
                      <w:sz w:val="21"/>
                      <w:szCs w:val="21"/>
                      <w:lang w:val="en-US" w:eastAsia="zh-CN"/>
                    </w:rPr>
                  </w:pPr>
                  <w:r>
                    <w:rPr>
                      <w:rFonts w:hint="eastAsia" w:ascii="Times New Roman" w:hAnsi="Times New Roman" w:eastAsia="宋体" w:cs="Times New Roman"/>
                      <w:color w:val="auto"/>
                      <w:sz w:val="21"/>
                      <w:szCs w:val="21"/>
                      <w:lang w:val="en-US" w:eastAsia="zh-CN"/>
                    </w:rPr>
                    <w:t>级</w:t>
                  </w:r>
                </w:p>
              </w:tc>
            </w:tr>
            <w:tr w14:paraId="704442F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2397F272">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0171AA6C">
                  <w:pPr>
                    <w:keepNext w:val="0"/>
                    <w:keepLines w:val="0"/>
                    <w:widowControl/>
                    <w:suppressLineNumbers w:val="0"/>
                    <w:spacing w:line="240" w:lineRule="auto"/>
                    <w:jc w:val="center"/>
                    <w:textAlignment w:val="center"/>
                    <w:rPr>
                      <w:rFonts w:hint="eastAsia" w:eastAsia="宋体"/>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氨</w:t>
                  </w:r>
                </w:p>
              </w:tc>
              <w:tc>
                <w:tcPr>
                  <w:tcW w:w="3114" w:type="dxa"/>
                  <w:tcBorders>
                    <w:tl2br w:val="nil"/>
                    <w:tr2bl w:val="nil"/>
                  </w:tcBorders>
                  <w:noWrap w:val="0"/>
                  <w:vAlign w:val="center"/>
                </w:tcPr>
                <w:p w14:paraId="6FF816D0">
                  <w:pPr>
                    <w:spacing w:line="240" w:lineRule="auto"/>
                    <w:jc w:val="both"/>
                    <w:rPr>
                      <w:rFonts w:hint="default" w:ascii="Times New Roman" w:hAnsi="Times New Roman"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 xml:space="preserve">环境空气和废气  氨的测定 </w:t>
                  </w:r>
                </w:p>
                <w:p w14:paraId="1A7D08E0">
                  <w:pPr>
                    <w:spacing w:line="240" w:lineRule="auto"/>
                    <w:jc w:val="center"/>
                    <w:rPr>
                      <w:rFonts w:hint="eastAsia"/>
                      <w:color w:val="auto"/>
                      <w:sz w:val="21"/>
                      <w:szCs w:val="21"/>
                      <w:lang w:val="en-US" w:eastAsia="zh-CN"/>
                    </w:rPr>
                  </w:pPr>
                  <w:r>
                    <w:rPr>
                      <w:rFonts w:hint="default" w:ascii="Times New Roman" w:hAnsi="Times New Roman" w:cs="Times New Roman"/>
                      <w:i w:val="0"/>
                      <w:color w:val="000000"/>
                      <w:kern w:val="0"/>
                      <w:sz w:val="21"/>
                      <w:szCs w:val="21"/>
                      <w:u w:val="none"/>
                      <w:lang w:val="en-US" w:eastAsia="zh-CN" w:bidi="ar"/>
                    </w:rPr>
                    <w:t>纳氏试剂分光光度法 HJ  533-2009</w:t>
                  </w:r>
                </w:p>
              </w:tc>
              <w:tc>
                <w:tcPr>
                  <w:tcW w:w="2570" w:type="dxa"/>
                  <w:tcBorders>
                    <w:tl2br w:val="nil"/>
                    <w:tr2bl w:val="nil"/>
                  </w:tcBorders>
                  <w:noWrap w:val="0"/>
                  <w:vAlign w:val="center"/>
                </w:tcPr>
                <w:p w14:paraId="1334FE7F">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YQ3000</w:t>
                  </w:r>
                  <w:r>
                    <w:rPr>
                      <w:rFonts w:hint="eastAsia" w:ascii="Times New Roman" w:hAnsi="Times New Roman" w:eastAsia="宋体" w:cs="Times New Roman"/>
                      <w:i w:val="0"/>
                      <w:color w:val="auto"/>
                      <w:kern w:val="0"/>
                      <w:sz w:val="21"/>
                      <w:szCs w:val="21"/>
                      <w:u w:val="none"/>
                      <w:lang w:val="en-US" w:eastAsia="zh-CN" w:bidi="ar"/>
                    </w:rPr>
                    <w:t>-</w:t>
                  </w:r>
                  <w:r>
                    <w:rPr>
                      <w:rFonts w:hint="default" w:ascii="Times New Roman" w:hAnsi="Times New Roman" w:eastAsia="宋体" w:cs="Times New Roman"/>
                      <w:i w:val="0"/>
                      <w:color w:val="auto"/>
                      <w:kern w:val="0"/>
                      <w:sz w:val="21"/>
                      <w:szCs w:val="21"/>
                      <w:u w:val="none"/>
                      <w:lang w:val="en-US" w:eastAsia="zh-CN" w:bidi="ar"/>
                    </w:rPr>
                    <w:t>D大流量烟尘（气）测试仪201410066</w:t>
                  </w:r>
                </w:p>
                <w:p w14:paraId="6AA10C47">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V-1200可见分光光度计201410001</w:t>
                  </w:r>
                </w:p>
              </w:tc>
              <w:tc>
                <w:tcPr>
                  <w:tcW w:w="1026" w:type="dxa"/>
                  <w:tcBorders>
                    <w:tl2br w:val="nil"/>
                    <w:tr2bl w:val="nil"/>
                  </w:tcBorders>
                  <w:noWrap w:val="0"/>
                  <w:vAlign w:val="center"/>
                </w:tcPr>
                <w:p w14:paraId="4BB299FA">
                  <w:pPr>
                    <w:pStyle w:val="17"/>
                    <w:spacing w:line="240" w:lineRule="auto"/>
                    <w:jc w:val="center"/>
                    <w:rPr>
                      <w:rFonts w:hint="default" w:ascii="Times New Roman" w:hAnsi="Times New Roman"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0.25</w:t>
                  </w:r>
                </w:p>
                <w:p w14:paraId="1B81D7F3">
                  <w:pPr>
                    <w:pStyle w:val="17"/>
                    <w:spacing w:line="240" w:lineRule="auto"/>
                    <w:jc w:val="center"/>
                    <w:rPr>
                      <w:rFonts w:hint="eastAsia"/>
                      <w:color w:val="auto"/>
                      <w:sz w:val="21"/>
                      <w:szCs w:val="21"/>
                      <w:lang w:val="en-US" w:eastAsia="zh-CN"/>
                    </w:rPr>
                  </w:pPr>
                  <w:r>
                    <w:rPr>
                      <w:rFonts w:hint="default" w:ascii="Times New Roman" w:hAnsi="Times New Roman" w:cs="Times New Roman"/>
                      <w:color w:val="000000"/>
                      <w:kern w:val="2"/>
                      <w:sz w:val="21"/>
                      <w:szCs w:val="21"/>
                      <w:lang w:val="en-US" w:eastAsia="zh-CN" w:bidi="ar-SA"/>
                    </w:rPr>
                    <w:t>mg/m</w:t>
                  </w:r>
                  <w:r>
                    <w:rPr>
                      <w:rFonts w:hint="default" w:ascii="Times New Roman" w:hAnsi="Times New Roman" w:cs="Times New Roman"/>
                      <w:color w:val="000000"/>
                      <w:kern w:val="2"/>
                      <w:sz w:val="21"/>
                      <w:szCs w:val="21"/>
                      <w:vertAlign w:val="superscript"/>
                      <w:lang w:val="en-US" w:eastAsia="zh-CN" w:bidi="ar-SA"/>
                    </w:rPr>
                    <w:t>3</w:t>
                  </w:r>
                </w:p>
              </w:tc>
            </w:tr>
            <w:tr w14:paraId="16F1FB7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7C5BDC7C">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46EEF250">
                  <w:pPr>
                    <w:spacing w:line="240" w:lineRule="auto"/>
                    <w:jc w:val="center"/>
                    <w:rPr>
                      <w:rFonts w:hint="eastAsia" w:eastAsia="宋体"/>
                      <w:color w:val="auto"/>
                      <w:sz w:val="21"/>
                      <w:szCs w:val="21"/>
                      <w:lang w:val="en-US" w:eastAsia="zh-CN"/>
                    </w:rPr>
                  </w:pPr>
                  <w:r>
                    <w:rPr>
                      <w:rFonts w:hint="default" w:ascii="Times New Roman" w:hAnsi="Times New Roman" w:eastAsia="宋体" w:cs="Times New Roman"/>
                      <w:color w:val="000000"/>
                      <w:sz w:val="21"/>
                      <w:szCs w:val="21"/>
                      <w:lang w:val="en-US" w:eastAsia="zh-CN"/>
                    </w:rPr>
                    <w:t>硫化氢</w:t>
                  </w:r>
                </w:p>
              </w:tc>
              <w:tc>
                <w:tcPr>
                  <w:tcW w:w="3114" w:type="dxa"/>
                  <w:tcBorders>
                    <w:tl2br w:val="nil"/>
                    <w:tr2bl w:val="nil"/>
                  </w:tcBorders>
                  <w:noWrap w:val="0"/>
                  <w:vAlign w:val="center"/>
                </w:tcPr>
                <w:p w14:paraId="2B525F19">
                  <w:pPr>
                    <w:spacing w:line="240" w:lineRule="auto"/>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固定污染源废气中硫化氢的测定</w:t>
                  </w:r>
                </w:p>
                <w:p w14:paraId="2DD3D32B">
                  <w:pPr>
                    <w:spacing w:line="240" w:lineRule="auto"/>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亚甲蓝分光光度法</w:t>
                  </w:r>
                </w:p>
                <w:p w14:paraId="13CE5680">
                  <w:pPr>
                    <w:spacing w:line="240" w:lineRule="auto"/>
                    <w:jc w:val="center"/>
                    <w:rPr>
                      <w:rFonts w:hint="eastAsia"/>
                      <w:color w:val="auto"/>
                      <w:sz w:val="21"/>
                      <w:szCs w:val="21"/>
                      <w:lang w:val="en-US" w:eastAsia="zh-CN"/>
                    </w:rPr>
                  </w:pPr>
                  <w:r>
                    <w:rPr>
                      <w:rFonts w:hint="default" w:ascii="Times New Roman" w:hAnsi="Times New Roman" w:eastAsia="宋体" w:cs="Times New Roman"/>
                      <w:color w:val="000000"/>
                      <w:szCs w:val="21"/>
                    </w:rPr>
                    <w:t>HJ 1388-2024</w:t>
                  </w:r>
                </w:p>
              </w:tc>
              <w:tc>
                <w:tcPr>
                  <w:tcW w:w="2570" w:type="dxa"/>
                  <w:tcBorders>
                    <w:tl2br w:val="nil"/>
                    <w:tr2bl w:val="nil"/>
                  </w:tcBorders>
                  <w:noWrap w:val="0"/>
                  <w:vAlign w:val="center"/>
                </w:tcPr>
                <w:p w14:paraId="086ABE27">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YQ3000</w:t>
                  </w:r>
                  <w:r>
                    <w:rPr>
                      <w:rFonts w:hint="eastAsia" w:ascii="Times New Roman" w:hAnsi="Times New Roman" w:eastAsia="宋体" w:cs="Times New Roman"/>
                      <w:i w:val="0"/>
                      <w:color w:val="auto"/>
                      <w:kern w:val="0"/>
                      <w:sz w:val="21"/>
                      <w:szCs w:val="21"/>
                      <w:u w:val="none"/>
                      <w:lang w:val="en-US" w:eastAsia="zh-CN" w:bidi="ar"/>
                    </w:rPr>
                    <w:t>-</w:t>
                  </w:r>
                  <w:r>
                    <w:rPr>
                      <w:rFonts w:hint="default" w:ascii="Times New Roman" w:hAnsi="Times New Roman" w:eastAsia="宋体" w:cs="Times New Roman"/>
                      <w:i w:val="0"/>
                      <w:color w:val="auto"/>
                      <w:kern w:val="0"/>
                      <w:sz w:val="21"/>
                      <w:szCs w:val="21"/>
                      <w:u w:val="none"/>
                      <w:lang w:val="en-US" w:eastAsia="zh-CN" w:bidi="ar"/>
                    </w:rPr>
                    <w:t>D大流量烟尘（气）测试仪201410066</w:t>
                  </w:r>
                </w:p>
                <w:p w14:paraId="36D583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UV-1800P</w:t>
                  </w:r>
                  <w:r>
                    <w:rPr>
                      <w:rFonts w:hint="eastAsia" w:cs="Times New Roman"/>
                      <w:i w:val="0"/>
                      <w:color w:val="000000"/>
                      <w:kern w:val="0"/>
                      <w:sz w:val="21"/>
                      <w:szCs w:val="21"/>
                      <w:u w:val="none"/>
                      <w:lang w:val="en-US" w:eastAsia="zh-CN" w:bidi="ar"/>
                    </w:rPr>
                    <w:t>C</w:t>
                  </w:r>
                  <w:r>
                    <w:rPr>
                      <w:rFonts w:hint="default" w:ascii="Times New Roman" w:hAnsi="Times New Roman" w:eastAsia="宋体" w:cs="Times New Roman"/>
                      <w:i w:val="0"/>
                      <w:color w:val="000000"/>
                      <w:kern w:val="0"/>
                      <w:sz w:val="21"/>
                      <w:szCs w:val="21"/>
                      <w:u w:val="none"/>
                      <w:lang w:val="en-US" w:eastAsia="zh-CN" w:bidi="ar"/>
                    </w:rPr>
                    <w:t>紫外可见分光光度计201410002</w:t>
                  </w:r>
                </w:p>
              </w:tc>
              <w:tc>
                <w:tcPr>
                  <w:tcW w:w="1026" w:type="dxa"/>
                  <w:tcBorders>
                    <w:tl2br w:val="nil"/>
                    <w:tr2bl w:val="nil"/>
                  </w:tcBorders>
                  <w:noWrap w:val="0"/>
                  <w:vAlign w:val="center"/>
                </w:tcPr>
                <w:p w14:paraId="072A9185">
                  <w:pPr>
                    <w:keepNext w:val="0"/>
                    <w:keepLines w:val="0"/>
                    <w:widowControl/>
                    <w:suppressLineNumbers w:val="0"/>
                    <w:spacing w:line="240" w:lineRule="auto"/>
                    <w:jc w:val="center"/>
                    <w:rPr>
                      <w:rFonts w:hint="default" w:ascii="Times New Roman" w:hAnsi="Times New Roman" w:eastAsia="宋体" w:cs="Times New Roman"/>
                      <w:color w:val="000000"/>
                      <w:kern w:val="0"/>
                      <w:sz w:val="21"/>
                      <w:szCs w:val="21"/>
                      <w:lang w:val="en-US" w:eastAsia="zh-CN" w:bidi="ar"/>
                    </w:rPr>
                  </w:pPr>
                </w:p>
                <w:p w14:paraId="400A4940">
                  <w:pPr>
                    <w:keepNext w:val="0"/>
                    <w:keepLines w:val="0"/>
                    <w:widowControl/>
                    <w:suppressLineNumbers w:val="0"/>
                    <w:spacing w:line="240" w:lineRule="auto"/>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kern w:val="0"/>
                      <w:sz w:val="21"/>
                      <w:szCs w:val="21"/>
                      <w:lang w:val="en-US" w:eastAsia="zh-CN" w:bidi="ar"/>
                    </w:rPr>
                    <w:t>0.0</w:t>
                  </w:r>
                  <w:r>
                    <w:rPr>
                      <w:rFonts w:hint="default" w:ascii="Times New Roman" w:hAnsi="Times New Roman" w:eastAsia="宋体" w:cs="Times New Roman"/>
                      <w:color w:val="000000"/>
                      <w:sz w:val="21"/>
                      <w:szCs w:val="21"/>
                      <w:lang w:val="en-US" w:eastAsia="zh-CN"/>
                    </w:rPr>
                    <w:t>07</w:t>
                  </w:r>
                </w:p>
                <w:p w14:paraId="517AE26B">
                  <w:pPr>
                    <w:keepNext w:val="0"/>
                    <w:keepLines w:val="0"/>
                    <w:widowControl/>
                    <w:suppressLineNumbers w:val="0"/>
                    <w:spacing w:line="240" w:lineRule="auto"/>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mg/m</w:t>
                  </w:r>
                  <w:r>
                    <w:rPr>
                      <w:rFonts w:hint="default" w:ascii="Times New Roman" w:hAnsi="Times New Roman" w:eastAsia="宋体" w:cs="Times New Roman"/>
                      <w:color w:val="000000"/>
                      <w:sz w:val="21"/>
                      <w:szCs w:val="21"/>
                      <w:vertAlign w:val="superscript"/>
                      <w:lang w:val="en-US" w:eastAsia="zh-CN"/>
                    </w:rPr>
                    <w:t>3</w:t>
                  </w:r>
                </w:p>
                <w:p w14:paraId="78471C9C">
                  <w:pPr>
                    <w:pStyle w:val="17"/>
                    <w:spacing w:line="240" w:lineRule="auto"/>
                    <w:jc w:val="center"/>
                    <w:rPr>
                      <w:rFonts w:hint="eastAsia"/>
                      <w:color w:val="auto"/>
                      <w:sz w:val="21"/>
                      <w:szCs w:val="21"/>
                      <w:lang w:val="en-US" w:eastAsia="zh-CN"/>
                    </w:rPr>
                  </w:pPr>
                </w:p>
              </w:tc>
            </w:tr>
            <w:tr w14:paraId="44BAAA2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54" w:hRule="atLeast"/>
                <w:jc w:val="center"/>
              </w:trPr>
              <w:tc>
                <w:tcPr>
                  <w:tcW w:w="1139" w:type="dxa"/>
                  <w:vMerge w:val="continue"/>
                  <w:tcBorders>
                    <w:tl2br w:val="nil"/>
                    <w:tr2bl w:val="nil"/>
                  </w:tcBorders>
                  <w:noWrap w:val="0"/>
                  <w:vAlign w:val="center"/>
                </w:tcPr>
                <w:p w14:paraId="3C5C5A09">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2507E2F2">
                  <w:pPr>
                    <w:keepNext w:val="0"/>
                    <w:keepLines w:val="0"/>
                    <w:widowControl/>
                    <w:suppressLineNumbers w:val="0"/>
                    <w:spacing w:line="240" w:lineRule="auto"/>
                    <w:jc w:val="center"/>
                    <w:textAlignment w:val="center"/>
                    <w:rPr>
                      <w:rFonts w:hint="eastAsia" w:eastAsia="宋体"/>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臭气浓度</w:t>
                  </w:r>
                </w:p>
              </w:tc>
              <w:tc>
                <w:tcPr>
                  <w:tcW w:w="3114" w:type="dxa"/>
                  <w:tcBorders>
                    <w:tl2br w:val="nil"/>
                    <w:tr2bl w:val="nil"/>
                  </w:tcBorders>
                  <w:noWrap w:val="0"/>
                  <w:vAlign w:val="center"/>
                </w:tcPr>
                <w:p w14:paraId="0A1DE8D1">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 xml:space="preserve">环境空气和废气 臭气的测定 </w:t>
                  </w:r>
                </w:p>
                <w:p w14:paraId="1A7EAD15">
                  <w:pPr>
                    <w:keepNext w:val="0"/>
                    <w:keepLines w:val="0"/>
                    <w:widowControl/>
                    <w:suppressLineNumbers w:val="0"/>
                    <w:spacing w:line="240" w:lineRule="auto"/>
                    <w:jc w:val="center"/>
                    <w:textAlignment w:val="center"/>
                    <w:rPr>
                      <w:rFonts w:hint="eastAsia"/>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三点比较式臭袋法 HJ1262-2022</w:t>
                  </w:r>
                </w:p>
              </w:tc>
              <w:tc>
                <w:tcPr>
                  <w:tcW w:w="2570" w:type="dxa"/>
                  <w:tcBorders>
                    <w:tl2br w:val="nil"/>
                    <w:tr2bl w:val="nil"/>
                  </w:tcBorders>
                  <w:noWrap w:val="0"/>
                  <w:vAlign w:val="center"/>
                </w:tcPr>
                <w:p w14:paraId="2D5B9D40">
                  <w:pPr>
                    <w:keepNext w:val="0"/>
                    <w:keepLines w:val="0"/>
                    <w:widowControl/>
                    <w:suppressLineNumbers w:val="0"/>
                    <w:spacing w:line="240" w:lineRule="auto"/>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1026" w:type="dxa"/>
                  <w:tcBorders>
                    <w:tl2br w:val="nil"/>
                    <w:tr2bl w:val="nil"/>
                  </w:tcBorders>
                  <w:noWrap w:val="0"/>
                  <w:vAlign w:val="center"/>
                </w:tcPr>
                <w:p w14:paraId="09BC907B">
                  <w:pPr>
                    <w:keepNext w:val="0"/>
                    <w:keepLines w:val="0"/>
                    <w:widowControl/>
                    <w:suppressLineNumbers w:val="0"/>
                    <w:spacing w:line="240" w:lineRule="auto"/>
                    <w:jc w:val="center"/>
                    <w:textAlignment w:val="center"/>
                    <w:rPr>
                      <w:rFonts w:hint="eastAsia"/>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w:t>
                  </w:r>
                </w:p>
              </w:tc>
            </w:tr>
            <w:tr w14:paraId="5AFA0C5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58" w:hRule="atLeast"/>
                <w:jc w:val="center"/>
              </w:trPr>
              <w:tc>
                <w:tcPr>
                  <w:tcW w:w="1139" w:type="dxa"/>
                  <w:vMerge w:val="restart"/>
                  <w:tcBorders>
                    <w:tl2br w:val="nil"/>
                    <w:tr2bl w:val="nil"/>
                  </w:tcBorders>
                  <w:noWrap w:val="0"/>
                  <w:vAlign w:val="center"/>
                </w:tcPr>
                <w:p w14:paraId="0BD86369">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napToGrid w:val="0"/>
                      <w:color w:val="auto"/>
                      <w:sz w:val="21"/>
                      <w:szCs w:val="21"/>
                      <w:lang w:val="en-US" w:eastAsia="zh-CN"/>
                    </w:rPr>
                  </w:pPr>
                  <w:r>
                    <w:rPr>
                      <w:rFonts w:hint="eastAsia" w:ascii="宋体" w:hAnsi="宋体" w:eastAsia="宋体" w:cs="宋体"/>
                      <w:snapToGrid w:val="0"/>
                      <w:color w:val="auto"/>
                      <w:sz w:val="21"/>
                      <w:szCs w:val="21"/>
                      <w:lang w:val="en-US" w:eastAsia="zh-CN"/>
                    </w:rPr>
                    <w:t>无组织废气</w:t>
                  </w:r>
                </w:p>
              </w:tc>
              <w:tc>
                <w:tcPr>
                  <w:tcW w:w="1222" w:type="dxa"/>
                  <w:tcBorders>
                    <w:tl2br w:val="nil"/>
                    <w:tr2bl w:val="nil"/>
                  </w:tcBorders>
                  <w:noWrap w:val="0"/>
                  <w:vAlign w:val="center"/>
                </w:tcPr>
                <w:p w14:paraId="76818C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color w:val="auto"/>
                      <w:kern w:val="0"/>
                      <w:sz w:val="21"/>
                      <w:szCs w:val="21"/>
                      <w:lang w:val="en-US" w:eastAsia="zh-CN" w:bidi="ar-SA"/>
                    </w:rPr>
                  </w:pPr>
                  <w:r>
                    <w:rPr>
                      <w:rFonts w:hint="eastAsia" w:eastAsia="宋体"/>
                      <w:color w:val="auto"/>
                      <w:kern w:val="0"/>
                      <w:sz w:val="21"/>
                      <w:szCs w:val="21"/>
                      <w:lang w:val="en-US" w:eastAsia="zh-CN" w:bidi="ar-SA"/>
                    </w:rPr>
                    <w:t>颗粒物</w:t>
                  </w:r>
                </w:p>
              </w:tc>
              <w:tc>
                <w:tcPr>
                  <w:tcW w:w="3114" w:type="dxa"/>
                  <w:tcBorders>
                    <w:tl2br w:val="nil"/>
                    <w:tr2bl w:val="nil"/>
                  </w:tcBorders>
                  <w:noWrap w:val="0"/>
                  <w:vAlign w:val="center"/>
                </w:tcPr>
                <w:p w14:paraId="7BB5BD2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环境空气  总悬浮颗粒物的测定  </w:t>
                  </w:r>
                </w:p>
                <w:p w14:paraId="5459C69B">
                  <w:pPr>
                    <w:jc w:val="center"/>
                    <w:rPr>
                      <w:rFonts w:hint="eastAsia"/>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 xml:space="preserve">重量法  </w:t>
                  </w:r>
                  <w:r>
                    <w:rPr>
                      <w:rFonts w:hint="eastAsia" w:ascii="Times New Roman" w:hAnsi="Times New Roman" w:eastAsia="宋体" w:cs="Times New Roman"/>
                      <w:color w:val="auto"/>
                      <w:kern w:val="2"/>
                      <w:sz w:val="21"/>
                      <w:szCs w:val="21"/>
                      <w:lang w:val="en-US" w:eastAsia="zh-CN" w:bidi="ar-SA"/>
                    </w:rPr>
                    <w:t>HJ  1263-2022</w:t>
                  </w:r>
                </w:p>
              </w:tc>
              <w:tc>
                <w:tcPr>
                  <w:tcW w:w="2570" w:type="dxa"/>
                  <w:tcBorders>
                    <w:tl2br w:val="nil"/>
                    <w:tr2bl w:val="nil"/>
                  </w:tcBorders>
                  <w:noWrap w:val="0"/>
                  <w:vAlign w:val="center"/>
                </w:tcPr>
                <w:p w14:paraId="7EDA19E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center"/>
                    <w:outlineLvl w:val="9"/>
                    <w:rPr>
                      <w:rFonts w:hint="default"/>
                      <w:color w:val="auto"/>
                      <w:lang w:val="en-US" w:eastAsia="zh-CN"/>
                    </w:rPr>
                  </w:pPr>
                  <w:r>
                    <w:rPr>
                      <w:rFonts w:hint="default" w:ascii="Times New Roman" w:hAnsi="Times New Roman" w:eastAsia="宋体" w:cs="Times New Roman"/>
                      <w:i w:val="0"/>
                      <w:color w:val="auto"/>
                      <w:kern w:val="0"/>
                      <w:sz w:val="21"/>
                      <w:szCs w:val="21"/>
                      <w:u w:val="none"/>
                      <w:lang w:val="en-US" w:eastAsia="zh-CN" w:bidi="ar"/>
                    </w:rPr>
                    <w:t>TH-150C大气综合采样器</w:t>
                  </w:r>
                  <w:r>
                    <w:rPr>
                      <w:rFonts w:hint="eastAsia" w:ascii="Times New Roman" w:hAnsi="Times New Roman" w:eastAsia="宋体" w:cs="Times New Roman"/>
                      <w:i w:val="0"/>
                      <w:color w:val="auto"/>
                      <w:kern w:val="0"/>
                      <w:sz w:val="21"/>
                      <w:szCs w:val="21"/>
                      <w:u w:val="none"/>
                      <w:lang w:val="en-US" w:eastAsia="zh-CN" w:bidi="ar"/>
                    </w:rPr>
                    <w:t>（</w:t>
                  </w:r>
                  <w:r>
                    <w:rPr>
                      <w:rFonts w:hint="default" w:ascii="Times New Roman" w:hAnsi="Times New Roman" w:eastAsia="宋体" w:cs="Times New Roman"/>
                      <w:color w:val="auto"/>
                      <w:kern w:val="0"/>
                      <w:sz w:val="21"/>
                      <w:szCs w:val="21"/>
                      <w:lang w:val="en-US" w:eastAsia="zh-CN"/>
                    </w:rPr>
                    <w:t>201410030</w:t>
                  </w:r>
                  <w:r>
                    <w:rPr>
                      <w:rFonts w:hint="eastAsia" w:ascii="Times New Roman" w:hAnsi="Times New Roman" w:eastAsia="宋体" w:cs="Times New Roman"/>
                      <w:color w:val="auto"/>
                      <w:kern w:val="0"/>
                      <w:sz w:val="21"/>
                      <w:szCs w:val="21"/>
                      <w:lang w:val="en-US" w:eastAsia="zh-CN"/>
                    </w:rPr>
                    <w:t>、2014100302、2014100303</w:t>
                  </w:r>
                  <w:r>
                    <w:rPr>
                      <w:rFonts w:hint="eastAsia" w:ascii="Times New Roman" w:hAnsi="Times New Roman" w:eastAsia="宋体" w:cs="Times New Roman"/>
                      <w:i w:val="0"/>
                      <w:color w:val="auto"/>
                      <w:kern w:val="0"/>
                      <w:sz w:val="21"/>
                      <w:szCs w:val="21"/>
                      <w:u w:val="none"/>
                      <w:lang w:val="en-US" w:eastAsia="zh-CN" w:bidi="ar"/>
                    </w:rPr>
                    <w:t>）</w:t>
                  </w:r>
                  <w:r>
                    <w:rPr>
                      <w:rFonts w:hint="eastAsia" w:ascii="Times New Roman" w:hAnsi="Times New Roman" w:eastAsia="宋体" w:cs="Times New Roman"/>
                      <w:color w:val="auto"/>
                      <w:kern w:val="0"/>
                      <w:sz w:val="21"/>
                      <w:szCs w:val="21"/>
                      <w:lang w:val="en-US" w:eastAsia="zh-CN"/>
                    </w:rPr>
                    <w:t>、</w:t>
                  </w:r>
                  <w:r>
                    <w:rPr>
                      <w:rFonts w:hint="default"/>
                      <w:color w:val="auto"/>
                      <w:lang w:val="en-US" w:eastAsia="zh-CN"/>
                    </w:rPr>
                    <w:t xml:space="preserve">AUW120D </w:t>
                  </w:r>
                </w:p>
                <w:p w14:paraId="2BA3750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color w:val="auto"/>
                      <w:kern w:val="0"/>
                      <w:sz w:val="21"/>
                      <w:szCs w:val="21"/>
                      <w:u w:val="none"/>
                      <w:lang w:val="en-US" w:eastAsia="zh-CN" w:bidi="ar"/>
                    </w:rPr>
                  </w:pPr>
                  <w:r>
                    <w:rPr>
                      <w:rFonts w:hint="default"/>
                      <w:color w:val="auto"/>
                      <w:lang w:val="en-US" w:eastAsia="zh-CN"/>
                    </w:rPr>
                    <w:t>十万分之一分析天平201410063</w:t>
                  </w:r>
                </w:p>
              </w:tc>
              <w:tc>
                <w:tcPr>
                  <w:tcW w:w="1026" w:type="dxa"/>
                  <w:tcBorders>
                    <w:tl2br w:val="nil"/>
                    <w:tr2bl w:val="nil"/>
                  </w:tcBorders>
                  <w:noWrap w:val="0"/>
                  <w:vAlign w:val="center"/>
                </w:tcPr>
                <w:p w14:paraId="2CF47B77">
                  <w:pPr>
                    <w:keepNext w:val="0"/>
                    <w:keepLines w:val="0"/>
                    <w:pageBreakBefore w:val="0"/>
                    <w:kinsoku/>
                    <w:wordWrap/>
                    <w:overflowPunct/>
                    <w:topLinePunct w:val="0"/>
                    <w:autoSpaceDE/>
                    <w:autoSpaceDN/>
                    <w:bidi w:val="0"/>
                    <w:adjustRightInd/>
                    <w:snapToGrid w:val="0"/>
                    <w:spacing w:line="240" w:lineRule="auto"/>
                    <w:jc w:val="center"/>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168</w:t>
                  </w:r>
                </w:p>
                <w:p w14:paraId="5E72A186">
                  <w:pPr>
                    <w:keepNext w:val="0"/>
                    <w:keepLines w:val="0"/>
                    <w:pageBreakBefore w:val="0"/>
                    <w:kinsoku/>
                    <w:wordWrap/>
                    <w:overflowPunct/>
                    <w:topLinePunct w:val="0"/>
                    <w:autoSpaceDE/>
                    <w:autoSpaceDN/>
                    <w:bidi w:val="0"/>
                    <w:adjustRightInd/>
                    <w:snapToGrid w:val="0"/>
                    <w:spacing w:line="240" w:lineRule="auto"/>
                    <w:jc w:val="center"/>
                    <w:rPr>
                      <w:rFonts w:hint="eastAsia"/>
                      <w:color w:val="auto"/>
                      <w:sz w:val="21"/>
                      <w:szCs w:val="21"/>
                      <w:lang w:val="en-US" w:eastAsia="zh-CN"/>
                    </w:rPr>
                  </w:pPr>
                  <w:r>
                    <w:rPr>
                      <w:rFonts w:hint="default" w:ascii="Times New Roman" w:hAnsi="Times New Roman" w:eastAsia="宋体" w:cs="Times New Roman"/>
                      <w:color w:val="auto"/>
                      <w:sz w:val="21"/>
                      <w:szCs w:val="21"/>
                    </w:rPr>
                    <w:t>μ</w:t>
                  </w:r>
                  <w:r>
                    <w:rPr>
                      <w:color w:val="auto"/>
                      <w:sz w:val="21"/>
                      <w:szCs w:val="21"/>
                    </w:rPr>
                    <w:t>g/m</w:t>
                  </w:r>
                  <w:r>
                    <w:rPr>
                      <w:rFonts w:ascii="Times New Roman" w:hAnsi="Times New Roman"/>
                      <w:color w:val="auto"/>
                      <w:sz w:val="21"/>
                      <w:szCs w:val="21"/>
                      <w:vertAlign w:val="superscript"/>
                    </w:rPr>
                    <w:t>3</w:t>
                  </w:r>
                </w:p>
              </w:tc>
            </w:tr>
            <w:tr w14:paraId="12ECCEE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64" w:hRule="atLeast"/>
                <w:jc w:val="center"/>
              </w:trPr>
              <w:tc>
                <w:tcPr>
                  <w:tcW w:w="1139" w:type="dxa"/>
                  <w:vMerge w:val="continue"/>
                  <w:tcBorders>
                    <w:tl2br w:val="nil"/>
                    <w:tr2bl w:val="nil"/>
                  </w:tcBorders>
                  <w:noWrap w:val="0"/>
                  <w:vAlign w:val="center"/>
                </w:tcPr>
                <w:p w14:paraId="43E50533">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523AFE5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auto"/>
                      <w:kern w:val="0"/>
                      <w:sz w:val="21"/>
                      <w:szCs w:val="21"/>
                      <w:lang w:val="en-US" w:eastAsia="zh-CN" w:bidi="ar-SA"/>
                    </w:rPr>
                  </w:pPr>
                  <w:r>
                    <w:rPr>
                      <w:rFonts w:hint="eastAsia" w:eastAsia="宋体"/>
                      <w:color w:val="auto"/>
                      <w:sz w:val="21"/>
                      <w:szCs w:val="21"/>
                      <w:lang w:val="en-US" w:eastAsia="zh-CN"/>
                    </w:rPr>
                    <w:t>非甲烷总烃</w:t>
                  </w:r>
                </w:p>
              </w:tc>
              <w:tc>
                <w:tcPr>
                  <w:tcW w:w="3114" w:type="dxa"/>
                  <w:tcBorders>
                    <w:tl2br w:val="nil"/>
                    <w:tr2bl w:val="nil"/>
                  </w:tcBorders>
                  <w:noWrap w:val="0"/>
                  <w:vAlign w:val="center"/>
                </w:tcPr>
                <w:p w14:paraId="78488ADD">
                  <w:pPr>
                    <w:spacing w:line="240" w:lineRule="auto"/>
                    <w:jc w:val="center"/>
                    <w:rPr>
                      <w:rFonts w:hint="default"/>
                      <w:color w:val="auto"/>
                      <w:kern w:val="2"/>
                      <w:sz w:val="21"/>
                      <w:szCs w:val="21"/>
                      <w:lang w:val="en-US" w:eastAsia="zh-CN" w:bidi="ar-SA"/>
                    </w:rPr>
                  </w:pPr>
                  <w:r>
                    <w:rPr>
                      <w:rFonts w:hint="eastAsia"/>
                      <w:color w:val="auto"/>
                      <w:kern w:val="2"/>
                      <w:sz w:val="21"/>
                      <w:szCs w:val="21"/>
                      <w:lang w:val="en-US" w:eastAsia="zh-CN" w:bidi="ar-SA"/>
                    </w:rPr>
                    <w:t>环境空气 总烃、甲烷和非甲烷总烃的测定 直接进样-气相色谱法  HJ604-2017</w:t>
                  </w:r>
                </w:p>
              </w:tc>
              <w:tc>
                <w:tcPr>
                  <w:tcW w:w="2570" w:type="dxa"/>
                  <w:tcBorders>
                    <w:tl2br w:val="nil"/>
                    <w:tr2bl w:val="nil"/>
                  </w:tcBorders>
                  <w:noWrap w:val="0"/>
                  <w:vAlign w:val="center"/>
                </w:tcPr>
                <w:p w14:paraId="6BD68EFC">
                  <w:pPr>
                    <w:pStyle w:val="29"/>
                    <w:spacing w:before="0" w:beforeAutospacing="0" w:after="0" w:afterAutospacing="0"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color w:val="auto"/>
                      <w:kern w:val="2"/>
                      <w:sz w:val="21"/>
                      <w:szCs w:val="21"/>
                      <w:lang w:val="en-US" w:eastAsia="zh-CN" w:bidi="ar-SA"/>
                    </w:rPr>
                    <w:t>G5  气相色谱仪  SPKJ/YQ002</w:t>
                  </w:r>
                </w:p>
              </w:tc>
              <w:tc>
                <w:tcPr>
                  <w:tcW w:w="1026" w:type="dxa"/>
                  <w:tcBorders>
                    <w:tl2br w:val="nil"/>
                    <w:tr2bl w:val="nil"/>
                  </w:tcBorders>
                  <w:noWrap w:val="0"/>
                  <w:vAlign w:val="center"/>
                </w:tcPr>
                <w:p w14:paraId="1056566C">
                  <w:pPr>
                    <w:pStyle w:val="17"/>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0.07</w:t>
                  </w:r>
                </w:p>
                <w:p w14:paraId="5935E68B">
                  <w:pPr>
                    <w:pStyle w:val="17"/>
                    <w:spacing w:line="240" w:lineRule="auto"/>
                    <w:jc w:val="center"/>
                    <w:rPr>
                      <w:rFonts w:hint="eastAsia"/>
                      <w:color w:val="auto"/>
                      <w:sz w:val="21"/>
                      <w:szCs w:val="21"/>
                      <w:lang w:val="en-US" w:eastAsia="zh-CN"/>
                    </w:rPr>
                  </w:pPr>
                  <w:r>
                    <w:rPr>
                      <w:rFonts w:hint="default" w:ascii="Times New Roman" w:hAnsi="Times New Roman" w:cs="Times New Roman"/>
                      <w:color w:val="auto"/>
                      <w:sz w:val="21"/>
                      <w:szCs w:val="21"/>
                    </w:rPr>
                    <w:t>mg/m</w:t>
                  </w:r>
                  <w:r>
                    <w:rPr>
                      <w:rFonts w:hint="default" w:ascii="Times New Roman" w:hAnsi="Times New Roman" w:cs="Times New Roman"/>
                      <w:color w:val="auto"/>
                      <w:sz w:val="21"/>
                      <w:szCs w:val="21"/>
                      <w:vertAlign w:val="superscript"/>
                    </w:rPr>
                    <w:t>3</w:t>
                  </w:r>
                </w:p>
              </w:tc>
            </w:tr>
            <w:tr w14:paraId="0DEBD2F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64" w:hRule="atLeast"/>
                <w:jc w:val="center"/>
              </w:trPr>
              <w:tc>
                <w:tcPr>
                  <w:tcW w:w="1139" w:type="dxa"/>
                  <w:vMerge w:val="continue"/>
                  <w:tcBorders>
                    <w:tl2br w:val="nil"/>
                    <w:tr2bl w:val="nil"/>
                  </w:tcBorders>
                  <w:noWrap w:val="0"/>
                  <w:vAlign w:val="center"/>
                </w:tcPr>
                <w:p w14:paraId="3E9D8030">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130A70E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宋体"/>
                      <w:color w:val="auto"/>
                      <w:sz w:val="21"/>
                      <w:szCs w:val="21"/>
                      <w:lang w:val="en-US" w:eastAsia="zh-CN"/>
                    </w:rPr>
                  </w:pPr>
                  <w:r>
                    <w:rPr>
                      <w:rFonts w:hint="default" w:ascii="Times New Roman" w:hAnsi="Times New Roman" w:eastAsia="宋体" w:cs="Times New Roman"/>
                      <w:color w:val="000000"/>
                      <w:kern w:val="0"/>
                      <w:sz w:val="21"/>
                      <w:szCs w:val="21"/>
                      <w:lang w:val="en-US" w:eastAsia="zh-CN"/>
                    </w:rPr>
                    <w:t>硫化氢</w:t>
                  </w:r>
                </w:p>
              </w:tc>
              <w:tc>
                <w:tcPr>
                  <w:tcW w:w="3114" w:type="dxa"/>
                  <w:tcBorders>
                    <w:tl2br w:val="nil"/>
                    <w:tr2bl w:val="nil"/>
                  </w:tcBorders>
                  <w:noWrap w:val="0"/>
                  <w:vAlign w:val="center"/>
                </w:tcPr>
                <w:p w14:paraId="6F2768A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auto"/>
                      <w:kern w:val="2"/>
                      <w:sz w:val="21"/>
                      <w:szCs w:val="21"/>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环境空气 亚甲基蓝分光光度法  《</w:t>
                  </w:r>
                  <w:r>
                    <w:rPr>
                      <w:rFonts w:hint="default" w:ascii="Times New Roman" w:hAnsi="Times New Roman" w:eastAsia="宋体" w:cs="Times New Roman"/>
                      <w:i w:val="0"/>
                      <w:iCs w:val="0"/>
                      <w:color w:val="000000"/>
                      <w:kern w:val="0"/>
                      <w:sz w:val="21"/>
                      <w:szCs w:val="21"/>
                      <w:highlight w:val="none"/>
                      <w:u w:val="none"/>
                      <w:lang w:val="en-US" w:eastAsia="zh-CN" w:bidi="ar"/>
                    </w:rPr>
                    <w:t>空气和废气监测分析方法》</w:t>
                  </w:r>
                  <w:r>
                    <w:rPr>
                      <w:rFonts w:hint="default" w:ascii="Times New Roman" w:hAnsi="Times New Roman" w:eastAsia="宋体" w:cs="Times New Roman"/>
                      <w:i w:val="0"/>
                      <w:color w:val="000000"/>
                      <w:kern w:val="0"/>
                      <w:sz w:val="21"/>
                      <w:szCs w:val="21"/>
                      <w:highlight w:val="none"/>
                      <w:u w:val="none"/>
                      <w:lang w:val="en-US" w:eastAsia="zh-CN" w:bidi="ar"/>
                    </w:rPr>
                    <w:t>（第四版增补版）国家环境保护总局（2003年）第三篇第一章</w:t>
                  </w:r>
                </w:p>
              </w:tc>
              <w:tc>
                <w:tcPr>
                  <w:tcW w:w="2570" w:type="dxa"/>
                  <w:tcBorders>
                    <w:tl2br w:val="nil"/>
                    <w:tr2bl w:val="nil"/>
                  </w:tcBorders>
                  <w:noWrap w:val="0"/>
                  <w:vAlign w:val="center"/>
                </w:tcPr>
                <w:p w14:paraId="756FEEA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TH-150C大气综合采样器（</w:t>
                  </w:r>
                  <w:r>
                    <w:rPr>
                      <w:rFonts w:hint="default" w:ascii="Times New Roman" w:hAnsi="Times New Roman" w:eastAsia="宋体" w:cs="Times New Roman"/>
                      <w:color w:val="000000"/>
                      <w:kern w:val="0"/>
                      <w:sz w:val="21"/>
                      <w:szCs w:val="21"/>
                      <w:lang w:val="en-US" w:eastAsia="zh-CN"/>
                    </w:rPr>
                    <w:t>201410030、2014100302</w:t>
                  </w:r>
                </w:p>
                <w:p w14:paraId="5D5FEF90">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color w:val="000000"/>
                      <w:kern w:val="0"/>
                      <w:sz w:val="21"/>
                      <w:szCs w:val="21"/>
                      <w:lang w:val="en-US" w:eastAsia="zh-CN"/>
                    </w:rPr>
                    <w:t>2014100303</w:t>
                  </w:r>
                  <w:r>
                    <w:rPr>
                      <w:rFonts w:hint="default" w:ascii="Times New Roman" w:hAnsi="Times New Roman" w:eastAsia="宋体" w:cs="Times New Roman"/>
                      <w:i w:val="0"/>
                      <w:color w:val="000000"/>
                      <w:kern w:val="0"/>
                      <w:sz w:val="21"/>
                      <w:szCs w:val="21"/>
                      <w:u w:val="none"/>
                      <w:lang w:val="en-US" w:eastAsia="zh-CN" w:bidi="ar"/>
                    </w:rPr>
                    <w:t>）</w:t>
                  </w:r>
                </w:p>
                <w:p w14:paraId="0ED0A2E9">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color w:val="000000"/>
                      <w:kern w:val="0"/>
                      <w:sz w:val="21"/>
                      <w:szCs w:val="21"/>
                      <w:u w:val="none"/>
                      <w:lang w:val="en-US" w:eastAsia="zh-CN" w:bidi="ar"/>
                    </w:rPr>
                    <w:t>UV-1800P</w:t>
                  </w:r>
                  <w:r>
                    <w:rPr>
                      <w:rFonts w:hint="eastAsia" w:cs="Times New Roman"/>
                      <w:i w:val="0"/>
                      <w:color w:val="000000"/>
                      <w:kern w:val="0"/>
                      <w:sz w:val="21"/>
                      <w:szCs w:val="21"/>
                      <w:u w:val="none"/>
                      <w:lang w:val="en-US" w:eastAsia="zh-CN" w:bidi="ar"/>
                    </w:rPr>
                    <w:t>C</w:t>
                  </w:r>
                  <w:r>
                    <w:rPr>
                      <w:rFonts w:hint="default" w:ascii="Times New Roman" w:hAnsi="Times New Roman" w:eastAsia="宋体" w:cs="Times New Roman"/>
                      <w:i w:val="0"/>
                      <w:color w:val="000000"/>
                      <w:kern w:val="0"/>
                      <w:sz w:val="21"/>
                      <w:szCs w:val="21"/>
                      <w:u w:val="none"/>
                      <w:lang w:val="en-US" w:eastAsia="zh-CN" w:bidi="ar"/>
                    </w:rPr>
                    <w:t>紫外可见分光光度计201410002</w:t>
                  </w:r>
                </w:p>
              </w:tc>
              <w:tc>
                <w:tcPr>
                  <w:tcW w:w="1026" w:type="dxa"/>
                  <w:tcBorders>
                    <w:tl2br w:val="nil"/>
                    <w:tr2bl w:val="nil"/>
                  </w:tcBorders>
                  <w:noWrap w:val="0"/>
                  <w:vAlign w:val="center"/>
                </w:tcPr>
                <w:p w14:paraId="64B07587">
                  <w:pPr>
                    <w:pStyle w:val="17"/>
                    <w:spacing w:line="240" w:lineRule="auto"/>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0.001</w:t>
                  </w:r>
                </w:p>
                <w:p w14:paraId="58842965">
                  <w:pPr>
                    <w:pStyle w:val="17"/>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000000"/>
                      <w:kern w:val="2"/>
                      <w:sz w:val="21"/>
                      <w:szCs w:val="21"/>
                      <w:lang w:val="en-US" w:eastAsia="zh-CN" w:bidi="ar-SA"/>
                    </w:rPr>
                    <w:t>mg/m</w:t>
                  </w:r>
                  <w:r>
                    <w:rPr>
                      <w:rFonts w:hint="default" w:ascii="Times New Roman" w:hAnsi="Times New Roman" w:eastAsia="宋体" w:cs="Times New Roman"/>
                      <w:color w:val="000000"/>
                      <w:kern w:val="2"/>
                      <w:sz w:val="21"/>
                      <w:szCs w:val="21"/>
                      <w:vertAlign w:val="superscript"/>
                      <w:lang w:val="en-US" w:eastAsia="zh-CN" w:bidi="ar-SA"/>
                    </w:rPr>
                    <w:t>3</w:t>
                  </w:r>
                </w:p>
              </w:tc>
            </w:tr>
            <w:tr w14:paraId="5130081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64" w:hRule="atLeast"/>
                <w:jc w:val="center"/>
              </w:trPr>
              <w:tc>
                <w:tcPr>
                  <w:tcW w:w="1139" w:type="dxa"/>
                  <w:vMerge w:val="continue"/>
                  <w:tcBorders>
                    <w:tl2br w:val="nil"/>
                    <w:tr2bl w:val="nil"/>
                  </w:tcBorders>
                  <w:noWrap w:val="0"/>
                  <w:vAlign w:val="center"/>
                </w:tcPr>
                <w:p w14:paraId="1597D0BA">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1"/>
                      <w:szCs w:val="21"/>
                      <w:lang w:val="en-US" w:eastAsia="zh-CN"/>
                    </w:rPr>
                  </w:pPr>
                </w:p>
              </w:tc>
              <w:tc>
                <w:tcPr>
                  <w:tcW w:w="1222" w:type="dxa"/>
                  <w:tcBorders>
                    <w:tl2br w:val="nil"/>
                    <w:tr2bl w:val="nil"/>
                  </w:tcBorders>
                  <w:noWrap w:val="0"/>
                  <w:vAlign w:val="center"/>
                </w:tcPr>
                <w:p w14:paraId="12AC6E6B">
                  <w:pPr>
                    <w:keepNext w:val="0"/>
                    <w:keepLines w:val="0"/>
                    <w:widowControl/>
                    <w:suppressLineNumbers w:val="0"/>
                    <w:spacing w:line="240" w:lineRule="auto"/>
                    <w:jc w:val="center"/>
                    <w:textAlignment w:val="center"/>
                    <w:rPr>
                      <w:rFonts w:hint="eastAsia" w:eastAsia="宋体"/>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氨</w:t>
                  </w:r>
                </w:p>
              </w:tc>
              <w:tc>
                <w:tcPr>
                  <w:tcW w:w="3114" w:type="dxa"/>
                  <w:tcBorders>
                    <w:tl2br w:val="nil"/>
                    <w:tr2bl w:val="nil"/>
                  </w:tcBorders>
                  <w:noWrap w:val="0"/>
                  <w:vAlign w:val="center"/>
                </w:tcPr>
                <w:p w14:paraId="71280E96">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 xml:space="preserve">环境空气和废气  氨的测定 </w:t>
                  </w:r>
                </w:p>
                <w:p w14:paraId="5BA5C42D">
                  <w:pPr>
                    <w:keepNext w:val="0"/>
                    <w:keepLines w:val="0"/>
                    <w:widowControl/>
                    <w:suppressLineNumbers w:val="0"/>
                    <w:spacing w:line="240" w:lineRule="auto"/>
                    <w:jc w:val="center"/>
                    <w:textAlignment w:val="center"/>
                    <w:rPr>
                      <w:rFonts w:hint="eastAsia"/>
                      <w:color w:val="auto"/>
                      <w:kern w:val="2"/>
                      <w:sz w:val="21"/>
                      <w:szCs w:val="21"/>
                      <w:lang w:val="en-US" w:eastAsia="zh-CN" w:bidi="ar-SA"/>
                    </w:rPr>
                  </w:pPr>
                  <w:r>
                    <w:rPr>
                      <w:rFonts w:hint="default" w:ascii="Times New Roman" w:hAnsi="Times New Roman" w:eastAsia="宋体" w:cs="Times New Roman"/>
                      <w:i w:val="0"/>
                      <w:color w:val="000000"/>
                      <w:kern w:val="0"/>
                      <w:sz w:val="21"/>
                      <w:szCs w:val="21"/>
                      <w:u w:val="none"/>
                      <w:lang w:val="en-US" w:eastAsia="zh-CN" w:bidi="ar"/>
                    </w:rPr>
                    <w:t>纳氏试剂分光光度法 HJ 533-2009</w:t>
                  </w:r>
                </w:p>
              </w:tc>
              <w:tc>
                <w:tcPr>
                  <w:tcW w:w="2570" w:type="dxa"/>
                  <w:tcBorders>
                    <w:tl2br w:val="nil"/>
                    <w:tr2bl w:val="nil"/>
                  </w:tcBorders>
                  <w:noWrap w:val="0"/>
                  <w:vAlign w:val="center"/>
                </w:tcPr>
                <w:p w14:paraId="2929533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TH-150C大气综合采样器（</w:t>
                  </w:r>
                  <w:r>
                    <w:rPr>
                      <w:rFonts w:hint="default" w:ascii="Times New Roman" w:hAnsi="Times New Roman" w:eastAsia="宋体" w:cs="Times New Roman"/>
                      <w:color w:val="000000"/>
                      <w:kern w:val="0"/>
                      <w:sz w:val="21"/>
                      <w:szCs w:val="21"/>
                      <w:lang w:val="en-US" w:eastAsia="zh-CN"/>
                    </w:rPr>
                    <w:t>201410030、2014100302</w:t>
                  </w:r>
                </w:p>
                <w:p w14:paraId="1728022B">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color w:val="000000"/>
                      <w:kern w:val="0"/>
                      <w:sz w:val="21"/>
                      <w:szCs w:val="21"/>
                      <w:lang w:val="en-US" w:eastAsia="zh-CN"/>
                    </w:rPr>
                    <w:t>2014100303</w:t>
                  </w:r>
                  <w:r>
                    <w:rPr>
                      <w:rFonts w:hint="default" w:ascii="Times New Roman" w:hAnsi="Times New Roman" w:eastAsia="宋体" w:cs="Times New Roman"/>
                      <w:i w:val="0"/>
                      <w:color w:val="000000"/>
                      <w:kern w:val="0"/>
                      <w:sz w:val="21"/>
                      <w:szCs w:val="21"/>
                      <w:u w:val="none"/>
                      <w:lang w:val="en-US" w:eastAsia="zh-CN" w:bidi="ar"/>
                    </w:rPr>
                    <w:t>）</w:t>
                  </w:r>
                </w:p>
                <w:p w14:paraId="08A3769B">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color w:val="000000"/>
                      <w:kern w:val="0"/>
                      <w:sz w:val="21"/>
                      <w:szCs w:val="21"/>
                      <w:u w:val="none"/>
                      <w:lang w:val="en-US" w:eastAsia="zh-CN" w:bidi="ar"/>
                    </w:rPr>
                    <w:t>V-1200可见分光光度计201410001</w:t>
                  </w:r>
                </w:p>
              </w:tc>
              <w:tc>
                <w:tcPr>
                  <w:tcW w:w="1026" w:type="dxa"/>
                  <w:tcBorders>
                    <w:tl2br w:val="nil"/>
                    <w:tr2bl w:val="nil"/>
                  </w:tcBorders>
                  <w:noWrap w:val="0"/>
                  <w:vAlign w:val="center"/>
                </w:tcPr>
                <w:p w14:paraId="1DC73858">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0.01</w:t>
                  </w:r>
                </w:p>
                <w:p w14:paraId="62B3DC13">
                  <w:pPr>
                    <w:keepNext w:val="0"/>
                    <w:keepLines w:val="0"/>
                    <w:widowControl/>
                    <w:suppressLineNumbers w:val="0"/>
                    <w:spacing w:line="240" w:lineRule="auto"/>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000000"/>
                      <w:kern w:val="2"/>
                      <w:sz w:val="21"/>
                      <w:szCs w:val="21"/>
                      <w:lang w:val="en-US" w:eastAsia="zh-CN" w:bidi="ar-SA"/>
                    </w:rPr>
                    <w:t>mg/m</w:t>
                  </w:r>
                  <w:r>
                    <w:rPr>
                      <w:rFonts w:hint="default" w:ascii="Times New Roman" w:hAnsi="Times New Roman" w:eastAsia="宋体" w:cs="Times New Roman"/>
                      <w:color w:val="000000"/>
                      <w:kern w:val="2"/>
                      <w:sz w:val="21"/>
                      <w:szCs w:val="21"/>
                      <w:vertAlign w:val="superscript"/>
                      <w:lang w:val="en-US" w:eastAsia="zh-CN" w:bidi="ar-SA"/>
                    </w:rPr>
                    <w:t>3</w:t>
                  </w:r>
                </w:p>
              </w:tc>
            </w:tr>
            <w:tr w14:paraId="00AD9FD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64" w:hRule="atLeast"/>
                <w:jc w:val="center"/>
              </w:trPr>
              <w:tc>
                <w:tcPr>
                  <w:tcW w:w="1139" w:type="dxa"/>
                  <w:tcBorders>
                    <w:tl2br w:val="nil"/>
                    <w:tr2bl w:val="nil"/>
                  </w:tcBorders>
                  <w:noWrap w:val="0"/>
                  <w:vAlign w:val="center"/>
                </w:tcPr>
                <w:p w14:paraId="1195D761">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napToGrid w:val="0"/>
                      <w:color w:val="auto"/>
                      <w:sz w:val="21"/>
                      <w:szCs w:val="21"/>
                      <w:lang w:val="en-US" w:eastAsia="zh-CN"/>
                    </w:rPr>
                  </w:pPr>
                  <w:r>
                    <w:rPr>
                      <w:rFonts w:hint="eastAsia" w:ascii="宋体" w:hAnsi="宋体" w:eastAsia="宋体" w:cs="宋体"/>
                      <w:snapToGrid w:val="0"/>
                      <w:color w:val="auto"/>
                      <w:sz w:val="21"/>
                      <w:szCs w:val="21"/>
                      <w:lang w:val="en-US" w:eastAsia="zh-CN"/>
                    </w:rPr>
                    <w:t>无组织废气</w:t>
                  </w:r>
                </w:p>
              </w:tc>
              <w:tc>
                <w:tcPr>
                  <w:tcW w:w="1222" w:type="dxa"/>
                  <w:tcBorders>
                    <w:tl2br w:val="nil"/>
                    <w:tr2bl w:val="nil"/>
                  </w:tcBorders>
                  <w:noWrap w:val="0"/>
                  <w:vAlign w:val="center"/>
                </w:tcPr>
                <w:p w14:paraId="75B33C46">
                  <w:pPr>
                    <w:keepNext w:val="0"/>
                    <w:keepLines w:val="0"/>
                    <w:widowControl/>
                    <w:suppressLineNumbers w:val="0"/>
                    <w:spacing w:line="240" w:lineRule="auto"/>
                    <w:jc w:val="center"/>
                    <w:textAlignment w:val="center"/>
                    <w:rPr>
                      <w:rFonts w:hint="eastAsia" w:eastAsia="宋体"/>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臭气浓度</w:t>
                  </w:r>
                </w:p>
              </w:tc>
              <w:tc>
                <w:tcPr>
                  <w:tcW w:w="3114" w:type="dxa"/>
                  <w:tcBorders>
                    <w:tl2br w:val="nil"/>
                    <w:tr2bl w:val="nil"/>
                  </w:tcBorders>
                  <w:noWrap w:val="0"/>
                  <w:vAlign w:val="center"/>
                </w:tcPr>
                <w:p w14:paraId="3143F82E">
                  <w:pPr>
                    <w:keepNext w:val="0"/>
                    <w:keepLines w:val="0"/>
                    <w:widowControl/>
                    <w:suppressLineNumbers w:val="0"/>
                    <w:spacing w:line="240" w:lineRule="auto"/>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 xml:space="preserve">环境空气和废气 臭气的测定 </w:t>
                  </w:r>
                </w:p>
                <w:p w14:paraId="287FF8DC">
                  <w:pPr>
                    <w:keepNext w:val="0"/>
                    <w:keepLines w:val="0"/>
                    <w:widowControl/>
                    <w:suppressLineNumbers w:val="0"/>
                    <w:spacing w:line="240" w:lineRule="auto"/>
                    <w:jc w:val="center"/>
                    <w:textAlignment w:val="center"/>
                    <w:rPr>
                      <w:rFonts w:hint="eastAsia"/>
                      <w:color w:val="auto"/>
                      <w:kern w:val="2"/>
                      <w:sz w:val="21"/>
                      <w:szCs w:val="21"/>
                      <w:lang w:val="en-US" w:eastAsia="zh-CN" w:bidi="ar-SA"/>
                    </w:rPr>
                  </w:pPr>
                  <w:r>
                    <w:rPr>
                      <w:rFonts w:hint="default" w:ascii="Times New Roman" w:hAnsi="Times New Roman" w:eastAsia="宋体" w:cs="Times New Roman"/>
                      <w:i w:val="0"/>
                      <w:color w:val="000000"/>
                      <w:kern w:val="0"/>
                      <w:sz w:val="21"/>
                      <w:szCs w:val="21"/>
                      <w:u w:val="none"/>
                      <w:lang w:val="en-US" w:eastAsia="zh-CN" w:bidi="ar"/>
                    </w:rPr>
                    <w:t>三点比较式臭袋法 HJ1262-2022</w:t>
                  </w:r>
                </w:p>
              </w:tc>
              <w:tc>
                <w:tcPr>
                  <w:tcW w:w="2570" w:type="dxa"/>
                  <w:tcBorders>
                    <w:tl2br w:val="nil"/>
                    <w:tr2bl w:val="nil"/>
                  </w:tcBorders>
                  <w:noWrap w:val="0"/>
                  <w:vAlign w:val="center"/>
                </w:tcPr>
                <w:p w14:paraId="518E23F7">
                  <w:pPr>
                    <w:keepNext w:val="0"/>
                    <w:keepLines w:val="0"/>
                    <w:widowControl/>
                    <w:suppressLineNumbers w:val="0"/>
                    <w:spacing w:line="240" w:lineRule="auto"/>
                    <w:jc w:val="center"/>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color w:val="000000"/>
                      <w:kern w:val="0"/>
                      <w:sz w:val="21"/>
                      <w:szCs w:val="21"/>
                      <w:u w:val="none"/>
                      <w:lang w:val="en-US" w:eastAsia="zh-CN" w:bidi="ar"/>
                    </w:rPr>
                    <w:t>/</w:t>
                  </w:r>
                </w:p>
              </w:tc>
              <w:tc>
                <w:tcPr>
                  <w:tcW w:w="1026" w:type="dxa"/>
                  <w:tcBorders>
                    <w:tl2br w:val="nil"/>
                    <w:tr2bl w:val="nil"/>
                  </w:tcBorders>
                  <w:noWrap w:val="0"/>
                  <w:vAlign w:val="center"/>
                </w:tcPr>
                <w:p w14:paraId="23984487">
                  <w:pPr>
                    <w:keepNext w:val="0"/>
                    <w:keepLines w:val="0"/>
                    <w:widowControl/>
                    <w:suppressLineNumbers w:val="0"/>
                    <w:spacing w:line="240" w:lineRule="auto"/>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w:t>
                  </w:r>
                </w:p>
              </w:tc>
            </w:tr>
            <w:tr w14:paraId="2BB44AF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512" w:hRule="atLeast"/>
                <w:jc w:val="center"/>
              </w:trPr>
              <w:tc>
                <w:tcPr>
                  <w:tcW w:w="1139" w:type="dxa"/>
                  <w:vMerge w:val="restart"/>
                  <w:tcBorders>
                    <w:tl2br w:val="nil"/>
                    <w:tr2bl w:val="nil"/>
                  </w:tcBorders>
                  <w:noWrap w:val="0"/>
                  <w:vAlign w:val="center"/>
                </w:tcPr>
                <w:p w14:paraId="0B1BBDF4">
                  <w:pPr>
                    <w:pStyle w:val="29"/>
                    <w:spacing w:line="240" w:lineRule="auto"/>
                    <w:jc w:val="center"/>
                    <w:rPr>
                      <w:rFonts w:hint="default" w:ascii="宋体" w:hAnsi="宋体" w:eastAsia="宋体" w:cs="宋体"/>
                      <w:color w:val="auto"/>
                      <w:sz w:val="21"/>
                      <w:szCs w:val="21"/>
                      <w:lang w:val="en-US" w:eastAsia="zh-CN"/>
                    </w:rPr>
                  </w:pPr>
                  <w:r>
                    <w:rPr>
                      <w:rFonts w:hint="eastAsia" w:eastAsia="宋体" w:cs="宋体"/>
                      <w:bCs/>
                      <w:color w:val="auto"/>
                      <w:sz w:val="21"/>
                      <w:szCs w:val="21"/>
                      <w:lang w:val="en-US" w:eastAsia="zh-CN"/>
                    </w:rPr>
                    <w:t>废水</w:t>
                  </w:r>
                </w:p>
              </w:tc>
              <w:tc>
                <w:tcPr>
                  <w:tcW w:w="1222" w:type="dxa"/>
                  <w:tcBorders>
                    <w:tl2br w:val="nil"/>
                    <w:tr2bl w:val="nil"/>
                  </w:tcBorders>
                  <w:noWrap w:val="0"/>
                  <w:vAlign w:val="center"/>
                </w:tcPr>
                <w:p w14:paraId="0726D07A">
                  <w:pPr>
                    <w:keepNext w:val="0"/>
                    <w:keepLines w:val="0"/>
                    <w:widowControl/>
                    <w:suppressLineNumbers w:val="0"/>
                    <w:spacing w:line="360" w:lineRule="auto"/>
                    <w:jc w:val="center"/>
                    <w:textAlignment w:val="center"/>
                    <w:rPr>
                      <w:rFonts w:hint="eastAsia" w:ascii="宋体" w:hAnsi="宋体" w:eastAsia="宋体" w:cs="宋体"/>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pH</w:t>
                  </w:r>
                </w:p>
              </w:tc>
              <w:tc>
                <w:tcPr>
                  <w:tcW w:w="3114" w:type="dxa"/>
                  <w:tcBorders>
                    <w:tl2br w:val="nil"/>
                    <w:tr2bl w:val="nil"/>
                  </w:tcBorders>
                  <w:noWrap w:val="0"/>
                  <w:vAlign w:val="center"/>
                </w:tcPr>
                <w:p w14:paraId="30EA9195">
                  <w:pPr>
                    <w:keepNext w:val="0"/>
                    <w:keepLines w:val="0"/>
                    <w:widowControl/>
                    <w:suppressLineNumbers w:val="0"/>
                    <w:spacing w:line="240" w:lineRule="auto"/>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水质  pH值的测定 电极法</w:t>
                  </w:r>
                </w:p>
                <w:p w14:paraId="14EB1C14">
                  <w:pPr>
                    <w:keepNext w:val="0"/>
                    <w:keepLines w:val="0"/>
                    <w:widowControl/>
                    <w:suppressLineNumbers w:val="0"/>
                    <w:spacing w:line="240" w:lineRule="auto"/>
                    <w:jc w:val="center"/>
                    <w:textAlignment w:val="center"/>
                    <w:rPr>
                      <w:rFonts w:hint="eastAsia" w:ascii="宋体" w:hAnsi="宋体" w:eastAsia="宋体" w:cs="宋体"/>
                      <w:color w:val="auto"/>
                      <w:sz w:val="21"/>
                      <w:szCs w:val="21"/>
                      <w:lang w:eastAsia="zh-CN"/>
                    </w:rPr>
                  </w:pPr>
                  <w:r>
                    <w:rPr>
                      <w:rFonts w:hint="eastAsia" w:ascii="Times New Roman" w:hAnsi="Times New Roman" w:cs="Times New Roman"/>
                      <w:i w:val="0"/>
                      <w:color w:val="auto"/>
                      <w:kern w:val="0"/>
                      <w:sz w:val="21"/>
                      <w:szCs w:val="21"/>
                      <w:u w:val="none"/>
                      <w:lang w:val="en-US" w:eastAsia="zh-CN" w:bidi="ar"/>
                    </w:rPr>
                    <w:t>HJ</w:t>
                  </w:r>
                  <w:r>
                    <w:rPr>
                      <w:rFonts w:hint="eastAsia" w:cs="Times New Roman"/>
                      <w:i w:val="0"/>
                      <w:color w:val="auto"/>
                      <w:kern w:val="0"/>
                      <w:sz w:val="21"/>
                      <w:szCs w:val="21"/>
                      <w:u w:val="none"/>
                      <w:lang w:val="en-US" w:eastAsia="zh-CN" w:bidi="ar"/>
                    </w:rPr>
                    <w:t xml:space="preserve"> </w:t>
                  </w:r>
                  <w:r>
                    <w:rPr>
                      <w:rFonts w:hint="eastAsia" w:ascii="Times New Roman" w:hAnsi="Times New Roman" w:cs="Times New Roman"/>
                      <w:i w:val="0"/>
                      <w:color w:val="auto"/>
                      <w:kern w:val="0"/>
                      <w:sz w:val="21"/>
                      <w:szCs w:val="21"/>
                      <w:u w:val="none"/>
                      <w:lang w:val="en-US" w:eastAsia="zh-CN" w:bidi="ar"/>
                    </w:rPr>
                    <w:t>1147</w:t>
                  </w:r>
                  <w:r>
                    <w:rPr>
                      <w:rFonts w:hint="eastAsia" w:cs="Times New Roman"/>
                      <w:i w:val="0"/>
                      <w:color w:val="auto"/>
                      <w:kern w:val="0"/>
                      <w:sz w:val="21"/>
                      <w:szCs w:val="21"/>
                      <w:u w:val="none"/>
                      <w:lang w:val="en-US" w:eastAsia="zh-CN" w:bidi="ar"/>
                    </w:rPr>
                    <w:t>-</w:t>
                  </w:r>
                  <w:r>
                    <w:rPr>
                      <w:rFonts w:hint="eastAsia" w:ascii="Times New Roman" w:hAnsi="Times New Roman" w:cs="Times New Roman"/>
                      <w:i w:val="0"/>
                      <w:color w:val="auto"/>
                      <w:kern w:val="0"/>
                      <w:sz w:val="21"/>
                      <w:szCs w:val="21"/>
                      <w:u w:val="none"/>
                      <w:lang w:val="en-US" w:eastAsia="zh-CN" w:bidi="ar"/>
                    </w:rPr>
                    <w:t>2020</w:t>
                  </w:r>
                </w:p>
              </w:tc>
              <w:tc>
                <w:tcPr>
                  <w:tcW w:w="2570" w:type="dxa"/>
                  <w:tcBorders>
                    <w:tl2br w:val="nil"/>
                    <w:tr2bl w:val="nil"/>
                  </w:tcBorders>
                  <w:noWrap w:val="0"/>
                  <w:vAlign w:val="center"/>
                </w:tcPr>
                <w:p w14:paraId="6D597EA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sz w:val="21"/>
                      <w:szCs w:val="21"/>
                      <w:lang w:val="en-US" w:eastAsia="zh-CN"/>
                    </w:rPr>
                    <w:t>SX725型PH/mV/溶解氧测量仪201410097</w:t>
                  </w:r>
                </w:p>
              </w:tc>
              <w:tc>
                <w:tcPr>
                  <w:tcW w:w="1026" w:type="dxa"/>
                  <w:tcBorders>
                    <w:tl2br w:val="nil"/>
                    <w:tr2bl w:val="nil"/>
                  </w:tcBorders>
                  <w:noWrap w:val="0"/>
                  <w:vAlign w:val="center"/>
                </w:tcPr>
                <w:p w14:paraId="3BD473AF">
                  <w:pPr>
                    <w:keepNext w:val="0"/>
                    <w:keepLines w:val="0"/>
                    <w:widowControl/>
                    <w:suppressLineNumbers w:val="0"/>
                    <w:spacing w:line="240" w:lineRule="auto"/>
                    <w:jc w:val="center"/>
                    <w:textAlignment w:val="center"/>
                    <w:rPr>
                      <w:rFonts w:hint="eastAsia" w:ascii="Times New Roman" w:hAnsi="Times New Roman" w:cs="Times New Roman"/>
                      <w:i w:val="0"/>
                      <w:color w:val="auto"/>
                      <w:kern w:val="0"/>
                      <w:sz w:val="21"/>
                      <w:szCs w:val="21"/>
                      <w:u w:val="none"/>
                      <w:lang w:val="en-US" w:eastAsia="zh-CN" w:bidi="ar"/>
                    </w:rPr>
                  </w:pPr>
                  <w:r>
                    <w:rPr>
                      <w:rFonts w:hint="eastAsia" w:ascii="Times New Roman" w:hAnsi="Times New Roman" w:cs="Times New Roman"/>
                      <w:i w:val="0"/>
                      <w:color w:val="auto"/>
                      <w:kern w:val="0"/>
                      <w:sz w:val="21"/>
                      <w:szCs w:val="21"/>
                      <w:u w:val="none"/>
                      <w:lang w:val="en-US" w:eastAsia="zh-CN" w:bidi="ar"/>
                    </w:rPr>
                    <w:t>0</w:t>
                  </w:r>
                  <w:r>
                    <w:rPr>
                      <w:rFonts w:hint="default" w:ascii="Times New Roman" w:hAnsi="Times New Roman" w:cs="Times New Roman"/>
                      <w:i w:val="0"/>
                      <w:color w:val="auto"/>
                      <w:kern w:val="0"/>
                      <w:sz w:val="21"/>
                      <w:szCs w:val="21"/>
                      <w:u w:val="none"/>
                      <w:lang w:val="en-US" w:eastAsia="zh-CN" w:bidi="ar"/>
                    </w:rPr>
                    <w:t>~</w:t>
                  </w:r>
                  <w:r>
                    <w:rPr>
                      <w:rFonts w:hint="eastAsia" w:ascii="Times New Roman" w:hAnsi="Times New Roman" w:cs="Times New Roman"/>
                      <w:i w:val="0"/>
                      <w:color w:val="auto"/>
                      <w:kern w:val="0"/>
                      <w:sz w:val="21"/>
                      <w:szCs w:val="21"/>
                      <w:u w:val="none"/>
                      <w:lang w:val="en-US" w:eastAsia="zh-CN" w:bidi="ar"/>
                    </w:rPr>
                    <w:t>14</w:t>
                  </w:r>
                </w:p>
                <w:p w14:paraId="160B5A99">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color w:val="auto"/>
                      <w:kern w:val="0"/>
                      <w:sz w:val="21"/>
                      <w:szCs w:val="21"/>
                      <w:u w:val="none"/>
                      <w:lang w:val="en-US" w:eastAsia="zh-CN" w:bidi="ar"/>
                    </w:rPr>
                    <w:t>无量纲</w:t>
                  </w:r>
                </w:p>
              </w:tc>
            </w:tr>
            <w:tr w14:paraId="47BC1D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43" w:hRule="atLeast"/>
                <w:jc w:val="center"/>
              </w:trPr>
              <w:tc>
                <w:tcPr>
                  <w:tcW w:w="1139" w:type="dxa"/>
                  <w:vMerge w:val="continue"/>
                  <w:tcBorders>
                    <w:tl2br w:val="nil"/>
                    <w:tr2bl w:val="nil"/>
                  </w:tcBorders>
                  <w:noWrap w:val="0"/>
                  <w:vAlign w:val="center"/>
                </w:tcPr>
                <w:p w14:paraId="11E077FB">
                  <w:pPr>
                    <w:pStyle w:val="29"/>
                    <w:spacing w:line="240" w:lineRule="auto"/>
                    <w:jc w:val="center"/>
                    <w:rPr>
                      <w:rFonts w:hint="eastAsia" w:eastAsia="宋体" w:cs="宋体"/>
                      <w:bCs/>
                      <w:color w:val="auto"/>
                      <w:sz w:val="21"/>
                      <w:szCs w:val="21"/>
                      <w:lang w:val="en-US" w:eastAsia="zh-CN"/>
                    </w:rPr>
                  </w:pPr>
                </w:p>
              </w:tc>
              <w:tc>
                <w:tcPr>
                  <w:tcW w:w="1222" w:type="dxa"/>
                  <w:tcBorders>
                    <w:tl2br w:val="nil"/>
                    <w:tr2bl w:val="nil"/>
                  </w:tcBorders>
                  <w:noWrap w:val="0"/>
                  <w:vAlign w:val="center"/>
                </w:tcPr>
                <w:p w14:paraId="429C6932">
                  <w:pPr>
                    <w:pStyle w:val="17"/>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z w:val="21"/>
                      <w:szCs w:val="21"/>
                    </w:rPr>
                    <w:t>化学需氧量</w:t>
                  </w:r>
                </w:p>
              </w:tc>
              <w:tc>
                <w:tcPr>
                  <w:tcW w:w="3114" w:type="dxa"/>
                  <w:tcBorders>
                    <w:tl2br w:val="nil"/>
                    <w:tr2bl w:val="nil"/>
                  </w:tcBorders>
                  <w:noWrap w:val="0"/>
                  <w:vAlign w:val="center"/>
                </w:tcPr>
                <w:p w14:paraId="4A4E46A4">
                  <w:pPr>
                    <w:pStyle w:val="17"/>
                    <w:adjustRightInd w:val="0"/>
                    <w:snapToGrid w:val="0"/>
                    <w:spacing w:line="240" w:lineRule="auto"/>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 xml:space="preserve">水质 化学需氧量的测定 </w:t>
                  </w:r>
                  <w:r>
                    <w:rPr>
                      <w:rFonts w:hint="default" w:ascii="Times New Roman" w:hAnsi="Times New Roman" w:eastAsia="宋体" w:cs="Times New Roman"/>
                      <w:color w:val="auto"/>
                      <w:sz w:val="21"/>
                      <w:szCs w:val="21"/>
                    </w:rPr>
                    <w:t>重铬酸</w:t>
                  </w:r>
                  <w:r>
                    <w:rPr>
                      <w:rFonts w:hint="default" w:ascii="Times New Roman" w:hAnsi="Times New Roman" w:eastAsia="宋体" w:cs="Times New Roman"/>
                      <w:color w:val="auto"/>
                      <w:sz w:val="21"/>
                      <w:szCs w:val="21"/>
                      <w:lang w:eastAsia="zh-CN"/>
                    </w:rPr>
                    <w:t>盐</w:t>
                  </w:r>
                  <w:r>
                    <w:rPr>
                      <w:rFonts w:hint="default" w:ascii="Times New Roman" w:hAnsi="Times New Roman" w:eastAsia="宋体" w:cs="Times New Roman"/>
                      <w:color w:val="auto"/>
                      <w:sz w:val="21"/>
                      <w:szCs w:val="21"/>
                    </w:rPr>
                    <w:t>法</w:t>
                  </w:r>
                  <w:r>
                    <w:rPr>
                      <w:rFonts w:hint="default" w:ascii="Times New Roman" w:hAnsi="Times New Roman" w:eastAsia="宋体" w:cs="Times New Roman"/>
                      <w:bCs/>
                      <w:color w:val="auto"/>
                      <w:kern w:val="2"/>
                      <w:sz w:val="21"/>
                      <w:szCs w:val="21"/>
                      <w:lang w:val="en-US" w:eastAsia="zh-CN" w:bidi="ar-SA"/>
                    </w:rPr>
                    <w:t>HJ 828-2017</w:t>
                  </w:r>
                </w:p>
              </w:tc>
              <w:tc>
                <w:tcPr>
                  <w:tcW w:w="2570" w:type="dxa"/>
                  <w:tcBorders>
                    <w:tl2br w:val="nil"/>
                    <w:tr2bl w:val="nil"/>
                  </w:tcBorders>
                  <w:noWrap w:val="0"/>
                  <w:vAlign w:val="center"/>
                </w:tcPr>
                <w:p w14:paraId="0ECD1C5C">
                  <w:pPr>
                    <w:pStyle w:val="17"/>
                    <w:adjustRightInd w:val="0"/>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50 mL</w:t>
                  </w:r>
                  <w:r>
                    <w:rPr>
                      <w:rFonts w:hint="default" w:ascii="Times New Roman" w:hAnsi="Times New Roman" w:eastAsia="宋体" w:cs="Times New Roman"/>
                      <w:color w:val="auto"/>
                      <w:sz w:val="21"/>
                      <w:szCs w:val="21"/>
                      <w:lang w:eastAsia="zh-CN"/>
                    </w:rPr>
                    <w:t>酸式滴定管</w:t>
                  </w:r>
                  <w:r>
                    <w:rPr>
                      <w:rFonts w:hint="eastAsia" w:ascii="Times New Roman" w:hAnsi="Times New Roman" w:eastAsia="宋体" w:cs="Times New Roman"/>
                      <w:color w:val="auto"/>
                      <w:sz w:val="21"/>
                      <w:szCs w:val="21"/>
                      <w:lang w:eastAsia="zh-CN"/>
                    </w:rPr>
                    <w:t>、</w:t>
                  </w:r>
                </w:p>
                <w:p w14:paraId="33D78DE2">
                  <w:pPr>
                    <w:pStyle w:val="17"/>
                    <w:adjustRightInd w:val="0"/>
                    <w:snapToGrid w:val="0"/>
                    <w:spacing w:line="240" w:lineRule="auto"/>
                    <w:jc w:val="center"/>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6B-10C智能回流消解仪201410074</w:t>
                  </w:r>
                </w:p>
              </w:tc>
              <w:tc>
                <w:tcPr>
                  <w:tcW w:w="1026" w:type="dxa"/>
                  <w:tcBorders>
                    <w:tl2br w:val="nil"/>
                    <w:tr2bl w:val="nil"/>
                  </w:tcBorders>
                  <w:noWrap w:val="0"/>
                  <w:vAlign w:val="center"/>
                </w:tcPr>
                <w:p w14:paraId="7190A014">
                  <w:pPr>
                    <w:pStyle w:val="17"/>
                    <w:adjustRightInd w:val="0"/>
                    <w:snapToGrid w:val="0"/>
                    <w:spacing w:line="240" w:lineRule="auto"/>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4</w:t>
                  </w:r>
                </w:p>
                <w:p w14:paraId="6CF51898">
                  <w:pPr>
                    <w:pStyle w:val="17"/>
                    <w:adjustRightInd w:val="0"/>
                    <w:snapToGrid w:val="0"/>
                    <w:spacing w:line="240" w:lineRule="auto"/>
                    <w:jc w:val="center"/>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mg/L</w:t>
                  </w:r>
                </w:p>
              </w:tc>
            </w:tr>
            <w:tr w14:paraId="4BDCE69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65" w:hRule="atLeast"/>
                <w:jc w:val="center"/>
              </w:trPr>
              <w:tc>
                <w:tcPr>
                  <w:tcW w:w="1139" w:type="dxa"/>
                  <w:vMerge w:val="continue"/>
                  <w:tcBorders>
                    <w:tl2br w:val="nil"/>
                    <w:tr2bl w:val="nil"/>
                  </w:tcBorders>
                  <w:noWrap w:val="0"/>
                  <w:vAlign w:val="center"/>
                </w:tcPr>
                <w:p w14:paraId="78E1C31B">
                  <w:pPr>
                    <w:pStyle w:val="29"/>
                    <w:spacing w:line="240" w:lineRule="auto"/>
                    <w:jc w:val="center"/>
                    <w:rPr>
                      <w:rFonts w:hint="eastAsia" w:eastAsia="宋体" w:cs="宋体"/>
                      <w:bCs/>
                      <w:color w:val="auto"/>
                      <w:sz w:val="21"/>
                      <w:szCs w:val="21"/>
                      <w:lang w:val="en-US" w:eastAsia="zh-CN"/>
                    </w:rPr>
                  </w:pPr>
                </w:p>
              </w:tc>
              <w:tc>
                <w:tcPr>
                  <w:tcW w:w="1222" w:type="dxa"/>
                  <w:tcBorders>
                    <w:tl2br w:val="nil"/>
                    <w:tr2bl w:val="nil"/>
                  </w:tcBorders>
                  <w:noWrap w:val="0"/>
                  <w:vAlign w:val="center"/>
                </w:tcPr>
                <w:p w14:paraId="6A49F581">
                  <w:pPr>
                    <w:pStyle w:val="17"/>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z w:val="21"/>
                      <w:szCs w:val="21"/>
                      <w:lang w:eastAsia="zh-CN"/>
                    </w:rPr>
                    <w:t>五日生化需氧量</w:t>
                  </w:r>
                </w:p>
              </w:tc>
              <w:tc>
                <w:tcPr>
                  <w:tcW w:w="3114" w:type="dxa"/>
                  <w:tcBorders>
                    <w:tl2br w:val="nil"/>
                    <w:tr2bl w:val="nil"/>
                  </w:tcBorders>
                  <w:noWrap w:val="0"/>
                  <w:vAlign w:val="center"/>
                </w:tcPr>
                <w:p w14:paraId="3F33CE67">
                  <w:pPr>
                    <w:pStyle w:val="13"/>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水质  五日生化需氧量（BOD</w:t>
                  </w:r>
                  <w:r>
                    <w:rPr>
                      <w:rFonts w:hint="eastAsia" w:cs="Times New Roman"/>
                      <w:color w:val="auto"/>
                      <w:sz w:val="21"/>
                      <w:szCs w:val="21"/>
                      <w:vertAlign w:val="subscript"/>
                      <w:lang w:val="en-US" w:eastAsia="zh-CN"/>
                    </w:rPr>
                    <w:t>5</w:t>
                  </w:r>
                  <w:r>
                    <w:rPr>
                      <w:rFonts w:hint="eastAsia" w:cs="Times New Roman"/>
                      <w:color w:val="auto"/>
                      <w:sz w:val="21"/>
                      <w:szCs w:val="21"/>
                      <w:lang w:val="en-US" w:eastAsia="zh-CN"/>
                    </w:rPr>
                    <w:t xml:space="preserve">）的测定  </w:t>
                  </w:r>
                </w:p>
                <w:p w14:paraId="102373F7">
                  <w:pPr>
                    <w:pStyle w:val="13"/>
                    <w:spacing w:line="240" w:lineRule="auto"/>
                    <w:jc w:val="center"/>
                    <w:rPr>
                      <w:rFonts w:hint="eastAsia"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color w:val="auto"/>
                      <w:sz w:val="21"/>
                      <w:szCs w:val="21"/>
                      <w:lang w:eastAsia="zh-CN"/>
                    </w:rPr>
                    <w:t>稀释与接种法</w:t>
                  </w:r>
                  <w:r>
                    <w:rPr>
                      <w:rFonts w:hint="eastAsia" w:cs="Times New Roman"/>
                      <w:color w:val="auto"/>
                      <w:sz w:val="21"/>
                      <w:szCs w:val="21"/>
                      <w:lang w:val="en-US" w:eastAsia="zh-CN"/>
                    </w:rPr>
                    <w:t xml:space="preserve">  </w:t>
                  </w:r>
                  <w:r>
                    <w:rPr>
                      <w:rFonts w:hint="default" w:ascii="Times New Roman" w:hAnsi="Times New Roman" w:eastAsia="宋体" w:cs="Times New Roman"/>
                      <w:bCs/>
                      <w:color w:val="auto"/>
                      <w:kern w:val="2"/>
                      <w:sz w:val="21"/>
                      <w:szCs w:val="21"/>
                      <w:lang w:val="en-US" w:eastAsia="zh-CN" w:bidi="ar-SA"/>
                    </w:rPr>
                    <w:t>HJ 505-2009</w:t>
                  </w:r>
                </w:p>
              </w:tc>
              <w:tc>
                <w:tcPr>
                  <w:tcW w:w="2570" w:type="dxa"/>
                  <w:tcBorders>
                    <w:tl2br w:val="nil"/>
                    <w:tr2bl w:val="nil"/>
                  </w:tcBorders>
                  <w:noWrap w:val="0"/>
                  <w:vAlign w:val="center"/>
                </w:tcPr>
                <w:p w14:paraId="1C8EC059">
                  <w:pPr>
                    <w:pStyle w:val="17"/>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50</w:t>
                  </w:r>
                  <w:r>
                    <w:rPr>
                      <w:rFonts w:hint="eastAsia" w:ascii="Times New Roman" w:hAnsi="Times New Roman" w:eastAsia="宋体" w:cs="Times New Roman"/>
                      <w:i w:val="0"/>
                      <w:color w:val="auto"/>
                      <w:kern w:val="0"/>
                      <w:sz w:val="21"/>
                      <w:szCs w:val="21"/>
                      <w:u w:val="none"/>
                      <w:lang w:val="en-US" w:eastAsia="zh-CN" w:bidi="ar"/>
                    </w:rPr>
                    <w:t xml:space="preserve"> </w:t>
                  </w:r>
                  <w:r>
                    <w:rPr>
                      <w:rFonts w:hint="default" w:ascii="Times New Roman" w:hAnsi="Times New Roman" w:eastAsia="宋体" w:cs="Times New Roman"/>
                      <w:color w:val="auto"/>
                      <w:sz w:val="21"/>
                      <w:szCs w:val="21"/>
                      <w:lang w:val="en-US" w:eastAsia="zh-CN"/>
                    </w:rPr>
                    <w:t>mL</w:t>
                  </w:r>
                  <w:r>
                    <w:rPr>
                      <w:rFonts w:hint="default" w:ascii="Times New Roman" w:hAnsi="Times New Roman" w:eastAsia="宋体" w:cs="Times New Roman"/>
                      <w:i w:val="0"/>
                      <w:color w:val="auto"/>
                      <w:kern w:val="0"/>
                      <w:sz w:val="21"/>
                      <w:szCs w:val="21"/>
                      <w:u w:val="none"/>
                      <w:lang w:val="en-US" w:eastAsia="zh-CN" w:bidi="ar"/>
                    </w:rPr>
                    <w:t>碱式滴定管</w:t>
                  </w:r>
                  <w:r>
                    <w:rPr>
                      <w:rFonts w:hint="eastAsia" w:ascii="Times New Roman" w:hAnsi="Times New Roman" w:eastAsia="宋体" w:cs="Times New Roman"/>
                      <w:i w:val="0"/>
                      <w:color w:val="auto"/>
                      <w:kern w:val="0"/>
                      <w:sz w:val="21"/>
                      <w:szCs w:val="21"/>
                      <w:u w:val="none"/>
                      <w:lang w:val="en-US" w:eastAsia="zh-CN" w:bidi="ar"/>
                    </w:rPr>
                    <w:t>、</w:t>
                  </w:r>
                </w:p>
                <w:p w14:paraId="779E4DAF">
                  <w:pPr>
                    <w:pStyle w:val="17"/>
                    <w:adjustRightInd w:val="0"/>
                    <w:snapToGrid w:val="0"/>
                    <w:spacing w:line="240" w:lineRule="auto"/>
                    <w:jc w:val="center"/>
                    <w:rPr>
                      <w:rFonts w:hint="eastAsia"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SPX-80B生化培养箱201410072</w:t>
                  </w:r>
                </w:p>
              </w:tc>
              <w:tc>
                <w:tcPr>
                  <w:tcW w:w="1026" w:type="dxa"/>
                  <w:tcBorders>
                    <w:tl2br w:val="nil"/>
                    <w:tr2bl w:val="nil"/>
                  </w:tcBorders>
                  <w:noWrap w:val="0"/>
                  <w:vAlign w:val="center"/>
                </w:tcPr>
                <w:p w14:paraId="6F6E3201">
                  <w:pPr>
                    <w:pStyle w:val="17"/>
                    <w:adjustRightInd w:val="0"/>
                    <w:snapToGrid w:val="0"/>
                    <w:spacing w:line="240" w:lineRule="auto"/>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0.5</w:t>
                  </w:r>
                </w:p>
                <w:p w14:paraId="2402046C">
                  <w:pPr>
                    <w:pStyle w:val="17"/>
                    <w:adjustRightInd w:val="0"/>
                    <w:snapToGrid w:val="0"/>
                    <w:spacing w:line="240" w:lineRule="auto"/>
                    <w:jc w:val="center"/>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mg/L</w:t>
                  </w:r>
                </w:p>
              </w:tc>
            </w:tr>
            <w:tr w14:paraId="7209814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32" w:hRule="atLeast"/>
                <w:jc w:val="center"/>
              </w:trPr>
              <w:tc>
                <w:tcPr>
                  <w:tcW w:w="1139" w:type="dxa"/>
                  <w:vMerge w:val="continue"/>
                  <w:tcBorders>
                    <w:tl2br w:val="nil"/>
                    <w:tr2bl w:val="nil"/>
                  </w:tcBorders>
                  <w:noWrap w:val="0"/>
                  <w:vAlign w:val="center"/>
                </w:tcPr>
                <w:p w14:paraId="6D263D91">
                  <w:pPr>
                    <w:pStyle w:val="29"/>
                    <w:spacing w:line="240" w:lineRule="auto"/>
                    <w:jc w:val="center"/>
                    <w:rPr>
                      <w:rFonts w:hint="eastAsia" w:eastAsia="宋体" w:cs="宋体"/>
                      <w:bCs/>
                      <w:color w:val="auto"/>
                      <w:sz w:val="21"/>
                      <w:szCs w:val="21"/>
                      <w:lang w:val="en-US" w:eastAsia="zh-CN"/>
                    </w:rPr>
                  </w:pPr>
                </w:p>
              </w:tc>
              <w:tc>
                <w:tcPr>
                  <w:tcW w:w="1222" w:type="dxa"/>
                  <w:tcBorders>
                    <w:tl2br w:val="nil"/>
                    <w:tr2bl w:val="nil"/>
                  </w:tcBorders>
                  <w:noWrap w:val="0"/>
                  <w:vAlign w:val="center"/>
                </w:tcPr>
                <w:p w14:paraId="74D10905">
                  <w:pPr>
                    <w:adjustRightInd w:val="0"/>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氨氮</w:t>
                  </w:r>
                </w:p>
              </w:tc>
              <w:tc>
                <w:tcPr>
                  <w:tcW w:w="3114" w:type="dxa"/>
                  <w:tcBorders>
                    <w:tl2br w:val="nil"/>
                    <w:tr2bl w:val="nil"/>
                  </w:tcBorders>
                  <w:noWrap w:val="0"/>
                  <w:vAlign w:val="center"/>
                </w:tcPr>
                <w:p w14:paraId="2EE95EA9">
                  <w:pPr>
                    <w:adjustRightInd w:val="0"/>
                    <w:snapToGrid w:val="0"/>
                    <w:spacing w:line="240" w:lineRule="auto"/>
                    <w:jc w:val="center"/>
                    <w:rPr>
                      <w:rFonts w:hint="default" w:ascii="Times New Roman" w:hAnsi="Times New Roman" w:eastAsia="宋体" w:cs="宋体"/>
                      <w:color w:val="auto"/>
                      <w:kern w:val="2"/>
                      <w:sz w:val="21"/>
                      <w:szCs w:val="21"/>
                      <w:lang w:val="en-US" w:eastAsia="zh-CN" w:bidi="ar-SA"/>
                    </w:rPr>
                  </w:pPr>
                  <w:r>
                    <w:rPr>
                      <w:rFonts w:hint="eastAsia" w:cs="Times New Roman"/>
                      <w:color w:val="auto"/>
                      <w:sz w:val="21"/>
                      <w:szCs w:val="21"/>
                      <w:lang w:val="en-US" w:eastAsia="zh-CN"/>
                    </w:rPr>
                    <w:t xml:space="preserve">水质  氨氮的测定  </w:t>
                  </w:r>
                  <w:r>
                    <w:rPr>
                      <w:rFonts w:hint="default" w:ascii="Times New Roman" w:hAnsi="Times New Roman" w:eastAsia="宋体" w:cs="Times New Roman"/>
                      <w:color w:val="auto"/>
                      <w:sz w:val="21"/>
                      <w:szCs w:val="21"/>
                    </w:rPr>
                    <w:t>纳氏试剂分光光度法</w:t>
                  </w:r>
                  <w:r>
                    <w:rPr>
                      <w:rFonts w:hint="default" w:ascii="Times New Roman" w:hAnsi="Times New Roman" w:eastAsia="宋体" w:cs="Times New Roman"/>
                      <w:bCs/>
                      <w:color w:val="auto"/>
                      <w:kern w:val="2"/>
                      <w:sz w:val="21"/>
                      <w:szCs w:val="21"/>
                      <w:lang w:val="en-US" w:eastAsia="zh-CN" w:bidi="ar-SA"/>
                    </w:rPr>
                    <w:t>HJ 535-2009</w:t>
                  </w:r>
                </w:p>
              </w:tc>
              <w:tc>
                <w:tcPr>
                  <w:tcW w:w="2570" w:type="dxa"/>
                  <w:tcBorders>
                    <w:tl2br w:val="nil"/>
                    <w:tr2bl w:val="nil"/>
                  </w:tcBorders>
                  <w:noWrap w:val="0"/>
                  <w:vAlign w:val="center"/>
                </w:tcPr>
                <w:p w14:paraId="7B3E8C52">
                  <w:pPr>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V-1200</w:t>
                  </w:r>
                  <w:r>
                    <w:rPr>
                      <w:rFonts w:hint="eastAsia" w:ascii="Times New Roman" w:hAnsi="Times New Roman" w:eastAsia="宋体" w:cs="Times New Roman"/>
                      <w:i w:val="0"/>
                      <w:color w:val="auto"/>
                      <w:kern w:val="0"/>
                      <w:sz w:val="21"/>
                      <w:szCs w:val="21"/>
                      <w:u w:val="none"/>
                      <w:lang w:val="en-US" w:eastAsia="zh-CN" w:bidi="ar"/>
                    </w:rPr>
                    <w:t>可见分光光度计201410001</w:t>
                  </w:r>
                </w:p>
              </w:tc>
              <w:tc>
                <w:tcPr>
                  <w:tcW w:w="1026" w:type="dxa"/>
                  <w:tcBorders>
                    <w:tl2br w:val="nil"/>
                    <w:tr2bl w:val="nil"/>
                  </w:tcBorders>
                  <w:noWrap w:val="0"/>
                  <w:vAlign w:val="center"/>
                </w:tcPr>
                <w:p w14:paraId="0284152A">
                  <w:pPr>
                    <w:adjustRightInd w:val="0"/>
                    <w:snapToGrid w:val="0"/>
                    <w:spacing w:line="240" w:lineRule="auto"/>
                    <w:jc w:val="center"/>
                    <w:rPr>
                      <w:rFonts w:hint="default" w:eastAsia="宋体" w:cs="宋体"/>
                      <w:color w:val="auto"/>
                      <w:sz w:val="21"/>
                      <w:szCs w:val="21"/>
                      <w:lang w:val="en-US" w:eastAsia="zh-CN"/>
                    </w:rPr>
                  </w:pPr>
                  <w:r>
                    <w:rPr>
                      <w:rFonts w:hint="eastAsia" w:eastAsia="宋体" w:cs="宋体"/>
                      <w:color w:val="auto"/>
                      <w:sz w:val="21"/>
                      <w:szCs w:val="21"/>
                      <w:lang w:val="en-US" w:eastAsia="zh-CN"/>
                    </w:rPr>
                    <w:t>0.025</w:t>
                  </w:r>
                </w:p>
                <w:p w14:paraId="60089B8E">
                  <w:pPr>
                    <w:adjustRightInd w:val="0"/>
                    <w:snapToGrid w:val="0"/>
                    <w:spacing w:line="240" w:lineRule="auto"/>
                    <w:jc w:val="center"/>
                    <w:rPr>
                      <w:rFonts w:hint="default" w:ascii="Times New Roman" w:hAnsi="Times New Roman" w:eastAsia="宋体" w:cs="宋体"/>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mg/L</w:t>
                  </w:r>
                </w:p>
              </w:tc>
            </w:tr>
            <w:tr w14:paraId="63573F0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32" w:hRule="atLeast"/>
                <w:jc w:val="center"/>
              </w:trPr>
              <w:tc>
                <w:tcPr>
                  <w:tcW w:w="1139" w:type="dxa"/>
                  <w:vMerge w:val="continue"/>
                  <w:tcBorders>
                    <w:tl2br w:val="nil"/>
                    <w:tr2bl w:val="nil"/>
                  </w:tcBorders>
                  <w:noWrap w:val="0"/>
                  <w:vAlign w:val="center"/>
                </w:tcPr>
                <w:p w14:paraId="45E55541">
                  <w:pPr>
                    <w:pStyle w:val="29"/>
                    <w:spacing w:line="240" w:lineRule="auto"/>
                    <w:jc w:val="center"/>
                    <w:rPr>
                      <w:rFonts w:hint="eastAsia" w:eastAsia="宋体" w:cs="宋体"/>
                      <w:bCs/>
                      <w:color w:val="auto"/>
                      <w:sz w:val="21"/>
                      <w:szCs w:val="21"/>
                      <w:lang w:val="en-US" w:eastAsia="zh-CN"/>
                    </w:rPr>
                  </w:pPr>
                </w:p>
              </w:tc>
              <w:tc>
                <w:tcPr>
                  <w:tcW w:w="1222" w:type="dxa"/>
                  <w:tcBorders>
                    <w:tl2br w:val="nil"/>
                    <w:tr2bl w:val="nil"/>
                  </w:tcBorders>
                  <w:noWrap w:val="0"/>
                  <w:vAlign w:val="center"/>
                </w:tcPr>
                <w:p w14:paraId="3B5631D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color w:val="000000"/>
                      <w:kern w:val="0"/>
                      <w:sz w:val="21"/>
                      <w:szCs w:val="21"/>
                      <w:u w:val="none"/>
                      <w:lang w:val="en-US" w:eastAsia="zh-CN" w:bidi="ar"/>
                    </w:rPr>
                    <w:t>总氮</w:t>
                  </w:r>
                </w:p>
              </w:tc>
              <w:tc>
                <w:tcPr>
                  <w:tcW w:w="3114" w:type="dxa"/>
                  <w:tcBorders>
                    <w:tl2br w:val="nil"/>
                    <w:tr2bl w:val="nil"/>
                  </w:tcBorders>
                  <w:noWrap w:val="0"/>
                  <w:vAlign w:val="center"/>
                </w:tcPr>
                <w:p w14:paraId="20E323FF">
                  <w:pPr>
                    <w:keepNext w:val="0"/>
                    <w:keepLines w:val="0"/>
                    <w:widowControl/>
                    <w:suppressLineNumbers w:val="0"/>
                    <w:spacing w:line="240" w:lineRule="auto"/>
                    <w:jc w:val="center"/>
                    <w:textAlignment w:val="center"/>
                    <w:rPr>
                      <w:rFonts w:hint="eastAsia" w:cs="Times New Roman"/>
                      <w:sz w:val="21"/>
                      <w:szCs w:val="21"/>
                      <w:lang w:val="en-US" w:eastAsia="zh-CN"/>
                    </w:rPr>
                  </w:pPr>
                  <w:r>
                    <w:rPr>
                      <w:rFonts w:hint="eastAsia" w:cs="Times New Roman"/>
                      <w:sz w:val="21"/>
                      <w:szCs w:val="21"/>
                      <w:lang w:val="en-US" w:eastAsia="zh-CN"/>
                    </w:rPr>
                    <w:t xml:space="preserve">水质  总氮的测定   </w:t>
                  </w:r>
                  <w:r>
                    <w:rPr>
                      <w:rFonts w:hint="default" w:ascii="Times New Roman" w:hAnsi="Times New Roman" w:eastAsia="宋体" w:cs="Times New Roman"/>
                      <w:sz w:val="21"/>
                      <w:szCs w:val="21"/>
                      <w:lang w:val="en-US" w:eastAsia="zh-CN"/>
                    </w:rPr>
                    <w:t>碱性过硫酸钾消解紫外分光光度法</w:t>
                  </w:r>
                  <w:r>
                    <w:rPr>
                      <w:rFonts w:hint="eastAsia" w:cs="Times New Roman"/>
                      <w:sz w:val="21"/>
                      <w:szCs w:val="21"/>
                      <w:lang w:val="en-US" w:eastAsia="zh-CN"/>
                    </w:rPr>
                    <w:t xml:space="preserve"> </w:t>
                  </w:r>
                </w:p>
                <w:p w14:paraId="02FC0C23">
                  <w:pPr>
                    <w:keepNext w:val="0"/>
                    <w:keepLines w:val="0"/>
                    <w:widowControl/>
                    <w:suppressLineNumbers w:val="0"/>
                    <w:spacing w:line="240" w:lineRule="auto"/>
                    <w:jc w:val="center"/>
                    <w:textAlignment w:val="center"/>
                    <w:rPr>
                      <w:rFonts w:hint="eastAsia" w:cs="Times New Roman"/>
                      <w:color w:val="auto"/>
                      <w:sz w:val="21"/>
                      <w:szCs w:val="21"/>
                      <w:lang w:val="en-US" w:eastAsia="zh-CN"/>
                    </w:rPr>
                  </w:pPr>
                  <w:r>
                    <w:rPr>
                      <w:rFonts w:hint="eastAsia" w:cs="Times New Roman"/>
                      <w:sz w:val="21"/>
                      <w:szCs w:val="21"/>
                      <w:lang w:val="en-US" w:eastAsia="zh-CN"/>
                    </w:rPr>
                    <w:t xml:space="preserve"> </w:t>
                  </w:r>
                  <w:r>
                    <w:rPr>
                      <w:rFonts w:hint="default" w:ascii="Times New Roman" w:hAnsi="Times New Roman" w:eastAsia="宋体" w:cs="Times New Roman"/>
                      <w:bCs/>
                      <w:kern w:val="2"/>
                      <w:sz w:val="21"/>
                      <w:szCs w:val="21"/>
                      <w:lang w:val="en-US" w:eastAsia="zh-CN" w:bidi="ar-SA"/>
                    </w:rPr>
                    <w:t>HJ 636-2012</w:t>
                  </w:r>
                </w:p>
              </w:tc>
              <w:tc>
                <w:tcPr>
                  <w:tcW w:w="2570" w:type="dxa"/>
                  <w:tcBorders>
                    <w:tl2br w:val="nil"/>
                    <w:tr2bl w:val="nil"/>
                  </w:tcBorders>
                  <w:noWrap w:val="0"/>
                  <w:vAlign w:val="center"/>
                </w:tcPr>
                <w:p w14:paraId="2A0A82D9">
                  <w:pPr>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UV-1800P</w:t>
                  </w:r>
                  <w:r>
                    <w:rPr>
                      <w:rFonts w:hint="eastAsia" w:cs="Times New Roman"/>
                      <w:i w:val="0"/>
                      <w:color w:val="000000"/>
                      <w:kern w:val="0"/>
                      <w:sz w:val="21"/>
                      <w:szCs w:val="21"/>
                      <w:u w:val="none"/>
                      <w:lang w:val="en-US" w:eastAsia="zh-CN" w:bidi="ar"/>
                    </w:rPr>
                    <w:t>C</w:t>
                  </w:r>
                  <w:r>
                    <w:rPr>
                      <w:rFonts w:hint="default" w:ascii="Times New Roman" w:hAnsi="Times New Roman" w:eastAsia="宋体" w:cs="Times New Roman"/>
                      <w:i w:val="0"/>
                      <w:color w:val="000000"/>
                      <w:kern w:val="0"/>
                      <w:sz w:val="21"/>
                      <w:szCs w:val="21"/>
                      <w:u w:val="none"/>
                      <w:lang w:val="en-US" w:eastAsia="zh-CN" w:bidi="ar"/>
                    </w:rPr>
                    <w:t>紫外可见分光光度计201410002</w:t>
                  </w:r>
                </w:p>
              </w:tc>
              <w:tc>
                <w:tcPr>
                  <w:tcW w:w="1026" w:type="dxa"/>
                  <w:tcBorders>
                    <w:tl2br w:val="nil"/>
                    <w:tr2bl w:val="nil"/>
                  </w:tcBorders>
                  <w:noWrap w:val="0"/>
                  <w:vAlign w:val="center"/>
                </w:tcPr>
                <w:p w14:paraId="3E900FA5">
                  <w:pPr>
                    <w:adjustRightInd w:val="0"/>
                    <w:snapToGrid w:val="0"/>
                    <w:spacing w:line="240" w:lineRule="auto"/>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0.05</w:t>
                  </w:r>
                </w:p>
                <w:p w14:paraId="7A2D38EB">
                  <w:pPr>
                    <w:adjustRightInd w:val="0"/>
                    <w:snapToGrid w:val="0"/>
                    <w:spacing w:line="240" w:lineRule="auto"/>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mg/L</w:t>
                  </w:r>
                </w:p>
              </w:tc>
            </w:tr>
            <w:tr w14:paraId="05A5215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00" w:hRule="atLeast"/>
                <w:jc w:val="center"/>
              </w:trPr>
              <w:tc>
                <w:tcPr>
                  <w:tcW w:w="1139" w:type="dxa"/>
                  <w:tcBorders>
                    <w:tl2br w:val="nil"/>
                    <w:tr2bl w:val="nil"/>
                  </w:tcBorders>
                  <w:noWrap w:val="0"/>
                  <w:vAlign w:val="center"/>
                </w:tcPr>
                <w:p w14:paraId="5D8EADA6">
                  <w:pPr>
                    <w:spacing w:line="360" w:lineRule="auto"/>
                    <w:jc w:val="center"/>
                    <w:rPr>
                      <w:rFonts w:hint="eastAsia" w:eastAsia="宋体" w:cs="宋体"/>
                      <w:bCs/>
                      <w:color w:val="auto"/>
                      <w:sz w:val="21"/>
                      <w:szCs w:val="21"/>
                      <w:lang w:val="en-US" w:eastAsia="zh-CN"/>
                    </w:rPr>
                  </w:pPr>
                  <w:r>
                    <w:rPr>
                      <w:rFonts w:hint="eastAsia" w:ascii="Times New Roman" w:hAnsi="Times New Roman" w:eastAsia="宋体" w:cs="Times New Roman"/>
                      <w:color w:val="auto"/>
                      <w:sz w:val="21"/>
                      <w:szCs w:val="21"/>
                      <w:lang w:val="en-US" w:eastAsia="zh-CN"/>
                    </w:rPr>
                    <w:t>噪声</w:t>
                  </w:r>
                </w:p>
              </w:tc>
              <w:tc>
                <w:tcPr>
                  <w:tcW w:w="1222" w:type="dxa"/>
                  <w:tcBorders>
                    <w:tl2br w:val="nil"/>
                    <w:tr2bl w:val="nil"/>
                  </w:tcBorders>
                  <w:noWrap w:val="0"/>
                  <w:vAlign w:val="center"/>
                </w:tcPr>
                <w:p w14:paraId="186FF2D3">
                  <w:pPr>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color w:val="auto"/>
                      <w:position w:val="6"/>
                      <w:sz w:val="21"/>
                      <w:szCs w:val="21"/>
                      <w:lang w:val="en-US" w:eastAsia="zh-CN"/>
                    </w:rPr>
                    <w:t>厂界噪声</w:t>
                  </w:r>
                </w:p>
              </w:tc>
              <w:tc>
                <w:tcPr>
                  <w:tcW w:w="3114" w:type="dxa"/>
                  <w:tcBorders>
                    <w:tl2br w:val="nil"/>
                    <w:tr2bl w:val="nil"/>
                  </w:tcBorders>
                  <w:noWrap w:val="0"/>
                  <w:vAlign w:val="center"/>
                </w:tcPr>
                <w:p w14:paraId="264CCC4C">
                  <w:pPr>
                    <w:pStyle w:val="13"/>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工业企业厂界环境噪声排放标准</w:t>
                  </w:r>
                </w:p>
                <w:p w14:paraId="07ED17F0">
                  <w:pPr>
                    <w:pStyle w:val="13"/>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color w:val="auto"/>
                      <w:kern w:val="2"/>
                      <w:sz w:val="21"/>
                      <w:szCs w:val="21"/>
                      <w:lang w:val="en-US" w:eastAsia="zh-CN" w:bidi="ar-SA"/>
                    </w:rPr>
                    <w:t xml:space="preserve">GB  12348-2008  </w:t>
                  </w:r>
                </w:p>
              </w:tc>
              <w:tc>
                <w:tcPr>
                  <w:tcW w:w="2570" w:type="dxa"/>
                  <w:tcBorders>
                    <w:tl2br w:val="nil"/>
                    <w:tr2bl w:val="nil"/>
                  </w:tcBorders>
                  <w:noWrap w:val="0"/>
                  <w:vAlign w:val="center"/>
                </w:tcPr>
                <w:p w14:paraId="35BCE812">
                  <w:pPr>
                    <w:pStyle w:val="17"/>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AWA568</w:t>
                  </w:r>
                  <w:r>
                    <w:rPr>
                      <w:rFonts w:hint="eastAsia" w:ascii="Times New Roman" w:hAnsi="Times New Roman" w:eastAsia="宋体" w:cs="Times New Roman"/>
                      <w:i w:val="0"/>
                      <w:color w:val="000000"/>
                      <w:kern w:val="0"/>
                      <w:sz w:val="21"/>
                      <w:szCs w:val="21"/>
                      <w:u w:val="none"/>
                      <w:lang w:val="en-US" w:eastAsia="zh-CN" w:bidi="ar"/>
                    </w:rPr>
                    <w:t>8</w:t>
                  </w:r>
                  <w:r>
                    <w:rPr>
                      <w:rFonts w:hint="default" w:ascii="Times New Roman" w:hAnsi="Times New Roman" w:eastAsia="宋体" w:cs="Times New Roman"/>
                      <w:i w:val="0"/>
                      <w:color w:val="000000"/>
                      <w:kern w:val="0"/>
                      <w:sz w:val="21"/>
                      <w:szCs w:val="21"/>
                      <w:u w:val="none"/>
                      <w:lang w:val="en-US" w:eastAsia="zh-CN" w:bidi="ar"/>
                    </w:rPr>
                    <w:t>多功能声级计2014100</w:t>
                  </w:r>
                  <w:r>
                    <w:rPr>
                      <w:rFonts w:hint="eastAsia" w:ascii="Times New Roman" w:hAnsi="Times New Roman" w:eastAsia="宋体" w:cs="Times New Roman"/>
                      <w:i w:val="0"/>
                      <w:color w:val="000000"/>
                      <w:kern w:val="0"/>
                      <w:sz w:val="21"/>
                      <w:szCs w:val="21"/>
                      <w:u w:val="none"/>
                      <w:lang w:val="en-US" w:eastAsia="zh-CN" w:bidi="ar"/>
                    </w:rPr>
                    <w:t>75</w:t>
                  </w:r>
                </w:p>
              </w:tc>
              <w:tc>
                <w:tcPr>
                  <w:tcW w:w="1026" w:type="dxa"/>
                  <w:tcBorders>
                    <w:tl2br w:val="nil"/>
                    <w:tr2bl w:val="nil"/>
                  </w:tcBorders>
                  <w:noWrap w:val="0"/>
                  <w:vAlign w:val="center"/>
                </w:tcPr>
                <w:p w14:paraId="49C5FC6E">
                  <w:pPr>
                    <w:pStyle w:val="17"/>
                    <w:adjustRightInd w:val="0"/>
                    <w:snapToGrid w:val="0"/>
                    <w:spacing w:line="240" w:lineRule="auto"/>
                    <w:jc w:val="center"/>
                    <w:rPr>
                      <w:rFonts w:hint="eastAsia" w:ascii="Times New Roman" w:hAnsi="Times New Roman"/>
                      <w:iCs/>
                      <w:color w:val="000000"/>
                      <w:sz w:val="21"/>
                      <w:szCs w:val="21"/>
                      <w:lang w:val="en-US" w:eastAsia="zh-CN"/>
                    </w:rPr>
                  </w:pPr>
                  <w:r>
                    <w:rPr>
                      <w:rFonts w:hint="eastAsia" w:ascii="Times New Roman" w:hAnsi="Times New Roman"/>
                      <w:iCs/>
                      <w:color w:val="000000"/>
                      <w:sz w:val="21"/>
                      <w:szCs w:val="21"/>
                      <w:lang w:val="en-US" w:eastAsia="zh-CN"/>
                    </w:rPr>
                    <w:t>28-133</w:t>
                  </w:r>
                </w:p>
                <w:p w14:paraId="25EDB1F8">
                  <w:pPr>
                    <w:pStyle w:val="17"/>
                    <w:adjustRightInd w:val="0"/>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ascii="Times New Roman" w:hAnsi="Times New Roman"/>
                      <w:color w:val="000000"/>
                      <w:sz w:val="21"/>
                      <w:szCs w:val="21"/>
                    </w:rPr>
                    <w:t>dB(A)</w:t>
                  </w:r>
                </w:p>
              </w:tc>
            </w:tr>
          </w:tbl>
          <w:p w14:paraId="53FACA73">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Times New Roman" w:hAnsi="Times New Roman" w:cs="Times New Roman"/>
                <w:b/>
                <w:bCs/>
                <w:color w:val="auto"/>
                <w:sz w:val="24"/>
                <w:szCs w:val="24"/>
                <w:lang w:val="en-US" w:eastAsia="zh-CN"/>
              </w:rPr>
            </w:pPr>
          </w:p>
          <w:p w14:paraId="7A69F9ED">
            <w:pPr>
              <w:pStyle w:val="3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color w:val="auto"/>
                <w:sz w:val="24"/>
                <w:szCs w:val="24"/>
              </w:rPr>
            </w:pPr>
            <w:r>
              <w:rPr>
                <w:rFonts w:hint="eastAsia" w:cs="Times New Roman"/>
                <w:b/>
                <w:bCs/>
                <w:color w:val="auto"/>
                <w:sz w:val="24"/>
                <w:szCs w:val="24"/>
                <w:lang w:val="en-US" w:eastAsia="zh-CN"/>
              </w:rPr>
              <w:t>6</w:t>
            </w:r>
            <w:r>
              <w:rPr>
                <w:rFonts w:hint="eastAsia" w:ascii="Times New Roman" w:hAnsi="Times New Roman" w:cs="Times New Roman"/>
                <w:b/>
                <w:bCs/>
                <w:color w:val="auto"/>
                <w:sz w:val="24"/>
                <w:szCs w:val="24"/>
                <w:lang w:val="en-US" w:eastAsia="zh-CN"/>
              </w:rPr>
              <w:t>、</w:t>
            </w:r>
            <w:r>
              <w:rPr>
                <w:rFonts w:hint="eastAsia" w:ascii="Times New Roman" w:hAnsi="Times New Roman" w:cs="Times New Roman"/>
                <w:b/>
                <w:bCs/>
                <w:color w:val="auto"/>
                <w:sz w:val="24"/>
                <w:szCs w:val="24"/>
                <w:lang w:eastAsia="zh-CN"/>
              </w:rPr>
              <w:t>验收执行标准</w:t>
            </w:r>
          </w:p>
          <w:p w14:paraId="2709AD9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根据本项目环评报告表及环评批复文件要求，结合现行标准，本项目执行标准见</w:t>
            </w:r>
            <w:r>
              <w:rPr>
                <w:rFonts w:hint="eastAsia" w:cs="Times New Roman"/>
                <w:color w:val="auto"/>
                <w:kern w:val="2"/>
                <w:sz w:val="24"/>
                <w:szCs w:val="24"/>
                <w:lang w:val="en-US" w:eastAsia="zh-CN" w:bidi="ar-SA"/>
              </w:rPr>
              <w:t>下</w:t>
            </w:r>
            <w:r>
              <w:rPr>
                <w:rFonts w:hint="default" w:ascii="Times New Roman" w:hAnsi="Times New Roman" w:eastAsia="宋体" w:cs="Times New Roman"/>
                <w:color w:val="auto"/>
                <w:kern w:val="2"/>
                <w:sz w:val="24"/>
                <w:szCs w:val="24"/>
                <w:lang w:val="en-US" w:eastAsia="zh-CN" w:bidi="ar-SA"/>
              </w:rPr>
              <w:t>表。</w:t>
            </w:r>
          </w:p>
          <w:p w14:paraId="3E893809">
            <w:pPr>
              <w:pStyle w:val="17"/>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宋体" w:cs="Times New Roman"/>
                <w:b/>
                <w:kern w:val="2"/>
                <w:sz w:val="21"/>
                <w:szCs w:val="21"/>
                <w:lang w:val="en-US" w:eastAsia="zh-CN" w:bidi="ar-SA"/>
              </w:rPr>
            </w:pPr>
            <w:r>
              <w:rPr>
                <w:rFonts w:hint="default" w:ascii="Times New Roman" w:hAnsi="Times New Roman" w:cs="Times New Roman"/>
                <w:b/>
                <w:color w:val="auto"/>
                <w:sz w:val="21"/>
                <w:szCs w:val="21"/>
              </w:rPr>
              <w:t>表</w:t>
            </w:r>
            <w:r>
              <w:rPr>
                <w:rFonts w:hint="eastAsia" w:ascii="Times New Roman" w:hAnsi="Times New Roman" w:cs="Times New Roman"/>
                <w:b/>
                <w:color w:val="auto"/>
                <w:sz w:val="21"/>
                <w:szCs w:val="21"/>
                <w:lang w:val="en-US" w:eastAsia="zh-CN"/>
              </w:rPr>
              <w:t>6</w:t>
            </w:r>
            <w:r>
              <w:rPr>
                <w:rFonts w:hint="default" w:ascii="Times New Roman" w:hAnsi="Times New Roman" w:cs="Times New Roman"/>
                <w:b/>
                <w:color w:val="auto"/>
                <w:sz w:val="21"/>
                <w:szCs w:val="21"/>
              </w:rPr>
              <w:t>-</w:t>
            </w:r>
            <w:r>
              <w:rPr>
                <w:rFonts w:hint="eastAsia" w:ascii="Times New Roman" w:hAnsi="Times New Roman" w:cs="Times New Roman"/>
                <w:b/>
                <w:color w:val="auto"/>
                <w:sz w:val="21"/>
                <w:szCs w:val="21"/>
                <w:lang w:val="en-US" w:eastAsia="zh-CN"/>
              </w:rPr>
              <w:t>1</w:t>
            </w:r>
            <w:r>
              <w:rPr>
                <w:rFonts w:hint="default" w:ascii="Times New Roman" w:hAnsi="Times New Roman" w:cs="Times New Roman"/>
                <w:b/>
                <w:color w:val="auto"/>
                <w:sz w:val="21"/>
                <w:szCs w:val="21"/>
              </w:rPr>
              <w:t xml:space="preserve"> </w:t>
            </w:r>
            <w:r>
              <w:rPr>
                <w:rFonts w:hint="default" w:ascii="Times New Roman" w:hAnsi="Times New Roman" w:cs="Times New Roman"/>
                <w:b/>
                <w:color w:val="auto"/>
                <w:sz w:val="21"/>
                <w:szCs w:val="21"/>
                <w:lang w:val="en-US" w:eastAsia="zh-CN"/>
              </w:rPr>
              <w:t xml:space="preserve"> 废水</w:t>
            </w:r>
            <w:r>
              <w:rPr>
                <w:rFonts w:hint="default" w:ascii="Times New Roman" w:hAnsi="Times New Roman" w:cs="Times New Roman"/>
                <w:b/>
                <w:color w:val="auto"/>
                <w:sz w:val="21"/>
                <w:szCs w:val="21"/>
              </w:rPr>
              <w:t>评价标准</w:t>
            </w:r>
            <w:r>
              <w:rPr>
                <w:rFonts w:hint="default" w:ascii="Times New Roman" w:hAnsi="Times New Roman" w:eastAsia="宋体" w:cs="Times New Roman"/>
                <w:b/>
                <w:kern w:val="2"/>
                <w:sz w:val="21"/>
                <w:szCs w:val="21"/>
                <w:lang w:val="en-US" w:eastAsia="zh-CN" w:bidi="ar-SA"/>
              </w:rPr>
              <w:t>表</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73"/>
              <w:gridCol w:w="1109"/>
              <w:gridCol w:w="1647"/>
              <w:gridCol w:w="3225"/>
            </w:tblGrid>
            <w:tr w14:paraId="76E1A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817" w:type="dxa"/>
                  <w:tcBorders>
                    <w:tl2br w:val="nil"/>
                    <w:tr2bl w:val="nil"/>
                  </w:tcBorders>
                  <w:noWrap w:val="0"/>
                  <w:vAlign w:val="center"/>
                </w:tcPr>
                <w:p w14:paraId="3C7CE3EE">
                  <w:pPr>
                    <w:widowControl/>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lang w:eastAsia="zh-CN"/>
                    </w:rPr>
                    <w:t>序号</w:t>
                  </w:r>
                </w:p>
              </w:tc>
              <w:tc>
                <w:tcPr>
                  <w:tcW w:w="2273" w:type="dxa"/>
                  <w:tcBorders>
                    <w:tl2br w:val="nil"/>
                    <w:tr2bl w:val="nil"/>
                  </w:tcBorders>
                  <w:noWrap w:val="0"/>
                  <w:vAlign w:val="center"/>
                </w:tcPr>
                <w:p w14:paraId="2A457841">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项目</w:t>
                  </w:r>
                </w:p>
              </w:tc>
              <w:tc>
                <w:tcPr>
                  <w:tcW w:w="1109" w:type="dxa"/>
                  <w:tcBorders>
                    <w:tl2br w:val="nil"/>
                    <w:tr2bl w:val="nil"/>
                  </w:tcBorders>
                  <w:noWrap w:val="0"/>
                  <w:vAlign w:val="center"/>
                </w:tcPr>
                <w:p w14:paraId="520EE84D">
                  <w:pPr>
                    <w:widowControl/>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1647" w:type="dxa"/>
                  <w:tcBorders>
                    <w:tl2br w:val="nil"/>
                    <w:tr2bl w:val="nil"/>
                  </w:tcBorders>
                  <w:noWrap w:val="0"/>
                  <w:vAlign w:val="center"/>
                </w:tcPr>
                <w:p w14:paraId="02A3E77D">
                  <w:pPr>
                    <w:widowControl/>
                    <w:spacing w:line="240" w:lineRule="auto"/>
                    <w:jc w:val="center"/>
                    <w:rPr>
                      <w:rFonts w:hint="default" w:ascii="Times New Roman" w:hAnsi="Times New Roman" w:cs="Times New Roman"/>
                      <w:spacing w:val="-12"/>
                      <w:sz w:val="21"/>
                      <w:szCs w:val="21"/>
                    </w:rPr>
                  </w:pPr>
                  <w:r>
                    <w:rPr>
                      <w:rFonts w:hint="default" w:ascii="Times New Roman" w:hAnsi="Times New Roman" w:cs="Times New Roman"/>
                      <w:spacing w:val="-12"/>
                      <w:sz w:val="21"/>
                      <w:szCs w:val="21"/>
                    </w:rPr>
                    <w:t>浓度限值</w:t>
                  </w:r>
                </w:p>
              </w:tc>
              <w:tc>
                <w:tcPr>
                  <w:tcW w:w="3225" w:type="dxa"/>
                  <w:tcBorders>
                    <w:tl2br w:val="nil"/>
                    <w:tr2bl w:val="nil"/>
                  </w:tcBorders>
                  <w:noWrap w:val="0"/>
                  <w:vAlign w:val="center"/>
                </w:tcPr>
                <w:p w14:paraId="39C030D9">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标准名称及编号</w:t>
                  </w:r>
                </w:p>
              </w:tc>
            </w:tr>
            <w:tr w14:paraId="5A4D2F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7" w:type="dxa"/>
                  <w:tcBorders>
                    <w:tl2br w:val="nil"/>
                    <w:tr2bl w:val="nil"/>
                  </w:tcBorders>
                  <w:noWrap w:val="0"/>
                  <w:vAlign w:val="center"/>
                </w:tcPr>
                <w:p w14:paraId="1E4533F7">
                  <w:pPr>
                    <w:pStyle w:val="29"/>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kern w:val="2"/>
                      <w:position w:val="6"/>
                      <w:sz w:val="21"/>
                      <w:szCs w:val="21"/>
                      <w:lang w:val="en-US" w:eastAsia="zh-CN"/>
                    </w:rPr>
                  </w:pPr>
                  <w:r>
                    <w:rPr>
                      <w:rFonts w:hint="default" w:ascii="Times New Roman" w:hAnsi="Times New Roman" w:cs="Times New Roman"/>
                      <w:kern w:val="2"/>
                      <w:position w:val="6"/>
                      <w:sz w:val="21"/>
                      <w:szCs w:val="21"/>
                      <w:lang w:val="en-US" w:eastAsia="zh-CN"/>
                    </w:rPr>
                    <w:t>1</w:t>
                  </w:r>
                </w:p>
              </w:tc>
              <w:tc>
                <w:tcPr>
                  <w:tcW w:w="2273" w:type="dxa"/>
                  <w:tcBorders>
                    <w:tl2br w:val="nil"/>
                    <w:tr2bl w:val="nil"/>
                  </w:tcBorders>
                  <w:noWrap w:val="0"/>
                  <w:vAlign w:val="center"/>
                </w:tcPr>
                <w:p w14:paraId="1C59E04E">
                  <w:pPr>
                    <w:keepNext w:val="0"/>
                    <w:keepLines w:val="0"/>
                    <w:widowControl/>
                    <w:suppressLineNumbers w:val="0"/>
                    <w:spacing w:line="240" w:lineRule="auto"/>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color w:val="auto"/>
                      <w:kern w:val="0"/>
                      <w:sz w:val="21"/>
                      <w:szCs w:val="21"/>
                      <w:u w:val="none"/>
                      <w:lang w:val="en-US" w:eastAsia="zh-CN" w:bidi="ar"/>
                    </w:rPr>
                    <w:t>pH</w:t>
                  </w:r>
                </w:p>
              </w:tc>
              <w:tc>
                <w:tcPr>
                  <w:tcW w:w="1109" w:type="dxa"/>
                  <w:tcBorders>
                    <w:tl2br w:val="nil"/>
                    <w:tr2bl w:val="nil"/>
                  </w:tcBorders>
                  <w:noWrap w:val="0"/>
                  <w:vAlign w:val="center"/>
                </w:tcPr>
                <w:p w14:paraId="6D67375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spacing w:val="-4"/>
                      <w:sz w:val="21"/>
                      <w:szCs w:val="21"/>
                      <w:lang w:eastAsia="zh-CN"/>
                    </w:rPr>
                  </w:pPr>
                  <w:r>
                    <w:rPr>
                      <w:rFonts w:hint="default" w:ascii="Times New Roman" w:hAnsi="Times New Roman" w:eastAsia="宋体" w:cs="Times New Roman"/>
                      <w:color w:val="auto"/>
                      <w:spacing w:val="-4"/>
                      <w:sz w:val="21"/>
                      <w:szCs w:val="21"/>
                      <w:lang w:eastAsia="zh-CN"/>
                    </w:rPr>
                    <w:t>无量纲</w:t>
                  </w:r>
                </w:p>
              </w:tc>
              <w:tc>
                <w:tcPr>
                  <w:tcW w:w="1647" w:type="dxa"/>
                  <w:tcBorders>
                    <w:tl2br w:val="nil"/>
                    <w:tr2bl w:val="nil"/>
                  </w:tcBorders>
                  <w:noWrap w:val="0"/>
                  <w:vAlign w:val="center"/>
                </w:tcPr>
                <w:p w14:paraId="293F0DE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6-9</w:t>
                  </w:r>
                </w:p>
              </w:tc>
              <w:tc>
                <w:tcPr>
                  <w:tcW w:w="3225" w:type="dxa"/>
                  <w:vMerge w:val="restart"/>
                  <w:tcBorders>
                    <w:tl2br w:val="nil"/>
                    <w:tr2bl w:val="nil"/>
                  </w:tcBorders>
                  <w:noWrap w:val="0"/>
                  <w:tcMar>
                    <w:left w:w="0" w:type="dxa"/>
                    <w:right w:w="0" w:type="dxa"/>
                  </w:tcMar>
                  <w:vAlign w:val="center"/>
                </w:tcPr>
                <w:p w14:paraId="072A5AD1">
                  <w:pPr>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color w:val="auto"/>
                      <w:sz w:val="21"/>
                      <w:szCs w:val="21"/>
                      <w:lang w:val="en-US" w:eastAsia="zh-CN"/>
                    </w:rPr>
                    <w:t>渗滤液处理厂接纳标准</w:t>
                  </w:r>
                  <w:r>
                    <w:rPr>
                      <w:rFonts w:hint="eastAsia" w:ascii="Times New Roman" w:hAnsi="Times New Roman" w:eastAsia="宋体" w:cs="Times New Roman"/>
                      <w:color w:val="auto"/>
                      <w:sz w:val="21"/>
                      <w:szCs w:val="21"/>
                      <w:lang w:val="en-US" w:eastAsia="zh-CN"/>
                    </w:rPr>
                    <w:t>（污水处理协议中废水接纳标准）</w:t>
                  </w:r>
                </w:p>
              </w:tc>
            </w:tr>
            <w:tr w14:paraId="007B9A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7" w:type="dxa"/>
                  <w:tcBorders>
                    <w:tl2br w:val="nil"/>
                    <w:tr2bl w:val="nil"/>
                  </w:tcBorders>
                  <w:noWrap w:val="0"/>
                  <w:vAlign w:val="center"/>
                </w:tcPr>
                <w:p w14:paraId="06314465">
                  <w:pPr>
                    <w:pStyle w:val="29"/>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kern w:val="2"/>
                      <w:position w:val="6"/>
                      <w:sz w:val="21"/>
                      <w:szCs w:val="21"/>
                      <w:lang w:val="en-US" w:eastAsia="zh-CN"/>
                    </w:rPr>
                  </w:pPr>
                  <w:r>
                    <w:rPr>
                      <w:rFonts w:hint="eastAsia" w:ascii="Times New Roman" w:hAnsi="Times New Roman" w:cs="Times New Roman"/>
                      <w:kern w:val="2"/>
                      <w:position w:val="6"/>
                      <w:sz w:val="21"/>
                      <w:szCs w:val="21"/>
                      <w:lang w:val="en-US" w:eastAsia="zh-CN"/>
                    </w:rPr>
                    <w:t>2</w:t>
                  </w:r>
                </w:p>
              </w:tc>
              <w:tc>
                <w:tcPr>
                  <w:tcW w:w="2273" w:type="dxa"/>
                  <w:tcBorders>
                    <w:tl2br w:val="nil"/>
                    <w:tr2bl w:val="nil"/>
                  </w:tcBorders>
                  <w:noWrap w:val="0"/>
                  <w:vAlign w:val="center"/>
                </w:tcPr>
                <w:p w14:paraId="1BFA7EF6">
                  <w:pPr>
                    <w:keepNext w:val="0"/>
                    <w:keepLines w:val="0"/>
                    <w:widowControl/>
                    <w:suppressLineNumbers w:val="0"/>
                    <w:spacing w:line="240" w:lineRule="auto"/>
                    <w:jc w:val="center"/>
                    <w:textAlignment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i w:val="0"/>
                      <w:color w:val="auto"/>
                      <w:kern w:val="0"/>
                      <w:sz w:val="21"/>
                      <w:szCs w:val="21"/>
                      <w:u w:val="none"/>
                      <w:lang w:val="en-US" w:eastAsia="zh-CN" w:bidi="ar"/>
                    </w:rPr>
                    <w:t>化学需氧量</w:t>
                  </w:r>
                </w:p>
              </w:tc>
              <w:tc>
                <w:tcPr>
                  <w:tcW w:w="1109" w:type="dxa"/>
                  <w:tcBorders>
                    <w:tl2br w:val="nil"/>
                    <w:tr2bl w:val="nil"/>
                  </w:tcBorders>
                  <w:noWrap w:val="0"/>
                  <w:vAlign w:val="center"/>
                </w:tcPr>
                <w:p w14:paraId="2CE86D9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spacing w:val="-4"/>
                      <w:sz w:val="21"/>
                      <w:szCs w:val="21"/>
                    </w:rPr>
                  </w:pPr>
                  <w:r>
                    <w:rPr>
                      <w:rFonts w:hint="default" w:ascii="Times New Roman" w:hAnsi="Times New Roman" w:eastAsia="宋体" w:cs="Times New Roman"/>
                      <w:color w:val="auto"/>
                      <w:spacing w:val="-4"/>
                      <w:sz w:val="21"/>
                      <w:szCs w:val="21"/>
                    </w:rPr>
                    <w:t>mg/</w:t>
                  </w:r>
                  <w:r>
                    <w:rPr>
                      <w:rFonts w:hint="default" w:ascii="Times New Roman" w:hAnsi="Times New Roman" w:eastAsia="宋体" w:cs="Times New Roman"/>
                      <w:color w:val="auto"/>
                      <w:spacing w:val="-4"/>
                      <w:sz w:val="21"/>
                      <w:szCs w:val="21"/>
                      <w:lang w:val="en-US" w:eastAsia="zh-CN"/>
                    </w:rPr>
                    <w:t>L</w:t>
                  </w:r>
                </w:p>
              </w:tc>
              <w:tc>
                <w:tcPr>
                  <w:tcW w:w="1647" w:type="dxa"/>
                  <w:tcBorders>
                    <w:tl2br w:val="nil"/>
                    <w:tr2bl w:val="nil"/>
                  </w:tcBorders>
                  <w:noWrap w:val="0"/>
                  <w:vAlign w:val="center"/>
                </w:tcPr>
                <w:p w14:paraId="14CE4A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10000</w:t>
                  </w:r>
                </w:p>
              </w:tc>
              <w:tc>
                <w:tcPr>
                  <w:tcW w:w="3225" w:type="dxa"/>
                  <w:vMerge w:val="continue"/>
                  <w:tcBorders>
                    <w:tl2br w:val="nil"/>
                    <w:tr2bl w:val="nil"/>
                  </w:tcBorders>
                  <w:noWrap w:val="0"/>
                  <w:tcMar>
                    <w:left w:w="0" w:type="dxa"/>
                    <w:right w:w="0" w:type="dxa"/>
                  </w:tcMar>
                  <w:vAlign w:val="center"/>
                </w:tcPr>
                <w:p w14:paraId="15BDF680">
                  <w:pPr>
                    <w:spacing w:line="240" w:lineRule="auto"/>
                    <w:rPr>
                      <w:rFonts w:hint="default" w:ascii="Times New Roman" w:hAnsi="Times New Roman" w:cs="Times New Roman"/>
                      <w:sz w:val="21"/>
                      <w:szCs w:val="21"/>
                    </w:rPr>
                  </w:pPr>
                </w:p>
              </w:tc>
            </w:tr>
            <w:tr w14:paraId="039A4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7" w:type="dxa"/>
                  <w:tcBorders>
                    <w:tl2br w:val="nil"/>
                    <w:tr2bl w:val="nil"/>
                  </w:tcBorders>
                  <w:noWrap w:val="0"/>
                  <w:vAlign w:val="center"/>
                </w:tcPr>
                <w:p w14:paraId="34C843CB">
                  <w:pPr>
                    <w:pStyle w:val="29"/>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kern w:val="2"/>
                      <w:position w:val="6"/>
                      <w:sz w:val="21"/>
                      <w:szCs w:val="21"/>
                      <w:lang w:val="en-US" w:eastAsia="zh-CN"/>
                    </w:rPr>
                  </w:pPr>
                  <w:r>
                    <w:rPr>
                      <w:rFonts w:hint="eastAsia" w:ascii="Times New Roman" w:hAnsi="Times New Roman" w:cs="Times New Roman"/>
                      <w:kern w:val="2"/>
                      <w:position w:val="6"/>
                      <w:sz w:val="21"/>
                      <w:szCs w:val="21"/>
                      <w:lang w:val="en-US" w:eastAsia="zh-CN"/>
                    </w:rPr>
                    <w:t>3</w:t>
                  </w:r>
                </w:p>
              </w:tc>
              <w:tc>
                <w:tcPr>
                  <w:tcW w:w="2273" w:type="dxa"/>
                  <w:tcBorders>
                    <w:tl2br w:val="nil"/>
                    <w:tr2bl w:val="nil"/>
                  </w:tcBorders>
                  <w:noWrap w:val="0"/>
                  <w:vAlign w:val="center"/>
                </w:tcPr>
                <w:p w14:paraId="12E2C032">
                  <w:pPr>
                    <w:keepNext w:val="0"/>
                    <w:keepLines w:val="0"/>
                    <w:widowControl/>
                    <w:suppressLineNumbers w:val="0"/>
                    <w:spacing w:line="240" w:lineRule="auto"/>
                    <w:jc w:val="center"/>
                    <w:textAlignment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i w:val="0"/>
                      <w:color w:val="auto"/>
                      <w:kern w:val="0"/>
                      <w:sz w:val="21"/>
                      <w:szCs w:val="21"/>
                      <w:u w:val="none"/>
                      <w:lang w:val="en-US" w:eastAsia="zh-CN" w:bidi="ar"/>
                    </w:rPr>
                    <w:t>五日生化需氧量</w:t>
                  </w:r>
                </w:p>
              </w:tc>
              <w:tc>
                <w:tcPr>
                  <w:tcW w:w="1109" w:type="dxa"/>
                  <w:tcBorders>
                    <w:tl2br w:val="nil"/>
                    <w:tr2bl w:val="nil"/>
                  </w:tcBorders>
                  <w:noWrap w:val="0"/>
                  <w:vAlign w:val="center"/>
                </w:tcPr>
                <w:p w14:paraId="5DD7ED4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spacing w:val="-4"/>
                      <w:sz w:val="21"/>
                      <w:szCs w:val="21"/>
                    </w:rPr>
                  </w:pPr>
                  <w:r>
                    <w:rPr>
                      <w:rFonts w:hint="default" w:ascii="Times New Roman" w:hAnsi="Times New Roman" w:eastAsia="宋体" w:cs="Times New Roman"/>
                      <w:color w:val="auto"/>
                      <w:spacing w:val="-4"/>
                      <w:sz w:val="21"/>
                      <w:szCs w:val="21"/>
                    </w:rPr>
                    <w:t>mg/</w:t>
                  </w:r>
                  <w:r>
                    <w:rPr>
                      <w:rFonts w:hint="default" w:ascii="Times New Roman" w:hAnsi="Times New Roman" w:eastAsia="宋体" w:cs="Times New Roman"/>
                      <w:color w:val="auto"/>
                      <w:spacing w:val="-4"/>
                      <w:sz w:val="21"/>
                      <w:szCs w:val="21"/>
                      <w:lang w:val="en-US" w:eastAsia="zh-CN"/>
                    </w:rPr>
                    <w:t>L</w:t>
                  </w:r>
                </w:p>
              </w:tc>
              <w:tc>
                <w:tcPr>
                  <w:tcW w:w="1647" w:type="dxa"/>
                  <w:tcBorders>
                    <w:tl2br w:val="nil"/>
                    <w:tr2bl w:val="nil"/>
                  </w:tcBorders>
                  <w:noWrap w:val="0"/>
                  <w:vAlign w:val="center"/>
                </w:tcPr>
                <w:p w14:paraId="67ED19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5000</w:t>
                  </w:r>
                </w:p>
              </w:tc>
              <w:tc>
                <w:tcPr>
                  <w:tcW w:w="3225" w:type="dxa"/>
                  <w:vMerge w:val="continue"/>
                  <w:tcBorders>
                    <w:tl2br w:val="nil"/>
                    <w:tr2bl w:val="nil"/>
                  </w:tcBorders>
                  <w:noWrap w:val="0"/>
                  <w:tcMar>
                    <w:left w:w="0" w:type="dxa"/>
                    <w:right w:w="0" w:type="dxa"/>
                  </w:tcMar>
                  <w:vAlign w:val="center"/>
                </w:tcPr>
                <w:p w14:paraId="777F14DD">
                  <w:pPr>
                    <w:spacing w:line="240" w:lineRule="auto"/>
                    <w:rPr>
                      <w:rFonts w:hint="default" w:ascii="Times New Roman" w:hAnsi="Times New Roman" w:cs="Times New Roman"/>
                      <w:sz w:val="21"/>
                      <w:szCs w:val="21"/>
                    </w:rPr>
                  </w:pPr>
                </w:p>
              </w:tc>
            </w:tr>
            <w:tr w14:paraId="7101AC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7" w:type="dxa"/>
                  <w:tcBorders>
                    <w:tl2br w:val="nil"/>
                    <w:tr2bl w:val="nil"/>
                  </w:tcBorders>
                  <w:noWrap w:val="0"/>
                  <w:vAlign w:val="center"/>
                </w:tcPr>
                <w:p w14:paraId="404277A9">
                  <w:pPr>
                    <w:pStyle w:val="29"/>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kern w:val="2"/>
                      <w:position w:val="6"/>
                      <w:sz w:val="21"/>
                      <w:szCs w:val="21"/>
                      <w:lang w:val="en-US" w:eastAsia="zh-CN" w:bidi="ar-SA"/>
                    </w:rPr>
                  </w:pPr>
                  <w:r>
                    <w:rPr>
                      <w:rFonts w:hint="eastAsia" w:ascii="Times New Roman" w:hAnsi="Times New Roman" w:cs="Times New Roman"/>
                      <w:kern w:val="2"/>
                      <w:position w:val="6"/>
                      <w:sz w:val="21"/>
                      <w:szCs w:val="21"/>
                      <w:lang w:val="en-US" w:eastAsia="zh-CN"/>
                    </w:rPr>
                    <w:t>4</w:t>
                  </w:r>
                </w:p>
              </w:tc>
              <w:tc>
                <w:tcPr>
                  <w:tcW w:w="2273" w:type="dxa"/>
                  <w:tcBorders>
                    <w:tl2br w:val="nil"/>
                    <w:tr2bl w:val="nil"/>
                  </w:tcBorders>
                  <w:noWrap w:val="0"/>
                  <w:vAlign w:val="center"/>
                </w:tcPr>
                <w:p w14:paraId="2994E120">
                  <w:pPr>
                    <w:pStyle w:val="29"/>
                    <w:adjustRightInd w:val="0"/>
                    <w:spacing w:before="0" w:beforeAutospacing="0" w:after="0" w:afterAutospacing="0" w:line="0" w:lineRule="atLeast"/>
                    <w:jc w:val="center"/>
                    <w:rPr>
                      <w:rFonts w:hint="default" w:ascii="Times New Roman" w:hAnsi="Times New Roman" w:cs="Times New Roman"/>
                      <w:bCs/>
                      <w:sz w:val="21"/>
                      <w:szCs w:val="21"/>
                      <w:lang w:eastAsia="zh-CN"/>
                    </w:rPr>
                  </w:pPr>
                  <w:r>
                    <w:rPr>
                      <w:rFonts w:hint="eastAsia" w:ascii="Times New Roman" w:hAnsi="Times New Roman" w:eastAsia="宋体" w:cs="Times New Roman"/>
                      <w:color w:val="auto"/>
                      <w:sz w:val="21"/>
                      <w:szCs w:val="21"/>
                      <w:lang w:val="en-US" w:eastAsia="zh-CN"/>
                    </w:rPr>
                    <w:t>氨氮（以N计）</w:t>
                  </w:r>
                </w:p>
              </w:tc>
              <w:tc>
                <w:tcPr>
                  <w:tcW w:w="1109" w:type="dxa"/>
                  <w:tcBorders>
                    <w:tl2br w:val="nil"/>
                    <w:tr2bl w:val="nil"/>
                  </w:tcBorders>
                  <w:noWrap w:val="0"/>
                  <w:vAlign w:val="center"/>
                </w:tcPr>
                <w:p w14:paraId="5F8AA10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pacing w:val="-4"/>
                      <w:sz w:val="21"/>
                      <w:szCs w:val="21"/>
                    </w:rPr>
                    <w:t>mg/</w:t>
                  </w:r>
                  <w:r>
                    <w:rPr>
                      <w:rFonts w:hint="default" w:ascii="Times New Roman" w:hAnsi="Times New Roman" w:eastAsia="宋体" w:cs="Times New Roman"/>
                      <w:color w:val="auto"/>
                      <w:spacing w:val="-4"/>
                      <w:sz w:val="21"/>
                      <w:szCs w:val="21"/>
                      <w:lang w:val="en-US" w:eastAsia="zh-CN"/>
                    </w:rPr>
                    <w:t>L</w:t>
                  </w:r>
                </w:p>
              </w:tc>
              <w:tc>
                <w:tcPr>
                  <w:tcW w:w="1647" w:type="dxa"/>
                  <w:tcBorders>
                    <w:top w:val="single" w:color="000000" w:sz="4" w:space="0"/>
                    <w:bottom w:val="single" w:color="000000" w:sz="4" w:space="0"/>
                    <w:tl2br w:val="nil"/>
                    <w:tr2bl w:val="nil"/>
                  </w:tcBorders>
                  <w:noWrap w:val="0"/>
                  <w:vAlign w:val="center"/>
                </w:tcPr>
                <w:p w14:paraId="6A46F7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1000</w:t>
                  </w:r>
                </w:p>
              </w:tc>
              <w:tc>
                <w:tcPr>
                  <w:tcW w:w="3225" w:type="dxa"/>
                  <w:vMerge w:val="continue"/>
                  <w:tcBorders>
                    <w:tl2br w:val="nil"/>
                    <w:tr2bl w:val="nil"/>
                  </w:tcBorders>
                  <w:noWrap w:val="0"/>
                  <w:tcMar>
                    <w:left w:w="0" w:type="dxa"/>
                    <w:right w:w="0" w:type="dxa"/>
                  </w:tcMar>
                  <w:vAlign w:val="center"/>
                </w:tcPr>
                <w:p w14:paraId="6649C5EB">
                  <w:pPr>
                    <w:spacing w:line="240" w:lineRule="auto"/>
                    <w:jc w:val="center"/>
                    <w:rPr>
                      <w:rFonts w:hint="default" w:ascii="Times New Roman" w:hAnsi="Times New Roman" w:cs="Times New Roman"/>
                      <w:sz w:val="21"/>
                      <w:szCs w:val="21"/>
                    </w:rPr>
                  </w:pPr>
                </w:p>
              </w:tc>
            </w:tr>
            <w:tr w14:paraId="5FCB6B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7" w:type="dxa"/>
                  <w:tcBorders>
                    <w:tl2br w:val="nil"/>
                    <w:tr2bl w:val="nil"/>
                  </w:tcBorders>
                  <w:noWrap w:val="0"/>
                  <w:vAlign w:val="center"/>
                </w:tcPr>
                <w:p w14:paraId="2AC1467C">
                  <w:pPr>
                    <w:pStyle w:val="29"/>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kern w:val="2"/>
                      <w:position w:val="6"/>
                      <w:sz w:val="21"/>
                      <w:szCs w:val="21"/>
                      <w:lang w:val="en-US" w:eastAsia="zh-CN"/>
                    </w:rPr>
                  </w:pPr>
                  <w:r>
                    <w:rPr>
                      <w:rFonts w:hint="eastAsia" w:ascii="Times New Roman" w:hAnsi="Times New Roman" w:cs="Times New Roman"/>
                      <w:kern w:val="2"/>
                      <w:position w:val="6"/>
                      <w:sz w:val="21"/>
                      <w:szCs w:val="21"/>
                      <w:lang w:val="en-US" w:eastAsia="zh-CN"/>
                    </w:rPr>
                    <w:t>5</w:t>
                  </w:r>
                </w:p>
              </w:tc>
              <w:tc>
                <w:tcPr>
                  <w:tcW w:w="2273" w:type="dxa"/>
                  <w:tcBorders>
                    <w:tl2br w:val="nil"/>
                    <w:tr2bl w:val="nil"/>
                  </w:tcBorders>
                  <w:noWrap w:val="0"/>
                  <w:vAlign w:val="center"/>
                </w:tcPr>
                <w:p w14:paraId="7D9E3E38">
                  <w:pPr>
                    <w:pStyle w:val="29"/>
                    <w:adjustRightInd w:val="0"/>
                    <w:spacing w:before="0" w:beforeAutospacing="0" w:after="0" w:afterAutospacing="0" w:line="0" w:lineRule="atLeas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总氮</w:t>
                  </w:r>
                </w:p>
              </w:tc>
              <w:tc>
                <w:tcPr>
                  <w:tcW w:w="1109" w:type="dxa"/>
                  <w:tcBorders>
                    <w:tl2br w:val="nil"/>
                    <w:tr2bl w:val="nil"/>
                  </w:tcBorders>
                  <w:noWrap w:val="0"/>
                  <w:vAlign w:val="center"/>
                </w:tcPr>
                <w:p w14:paraId="6F31BA4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pacing w:val="-4"/>
                      <w:sz w:val="21"/>
                      <w:szCs w:val="21"/>
                    </w:rPr>
                    <w:t>mg/</w:t>
                  </w:r>
                  <w:r>
                    <w:rPr>
                      <w:rFonts w:hint="default" w:ascii="Times New Roman" w:hAnsi="Times New Roman" w:eastAsia="宋体" w:cs="Times New Roman"/>
                      <w:color w:val="auto"/>
                      <w:spacing w:val="-4"/>
                      <w:sz w:val="21"/>
                      <w:szCs w:val="21"/>
                      <w:lang w:val="en-US" w:eastAsia="zh-CN"/>
                    </w:rPr>
                    <w:t>L</w:t>
                  </w:r>
                </w:p>
              </w:tc>
              <w:tc>
                <w:tcPr>
                  <w:tcW w:w="1647" w:type="dxa"/>
                  <w:tcBorders>
                    <w:top w:val="single" w:color="000000" w:sz="4" w:space="0"/>
                    <w:tl2br w:val="nil"/>
                    <w:tr2bl w:val="nil"/>
                  </w:tcBorders>
                  <w:noWrap w:val="0"/>
                  <w:vAlign w:val="center"/>
                </w:tcPr>
                <w:p w14:paraId="6053B51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1200</w:t>
                  </w:r>
                </w:p>
              </w:tc>
              <w:tc>
                <w:tcPr>
                  <w:tcW w:w="3225" w:type="dxa"/>
                  <w:vMerge w:val="continue"/>
                  <w:tcBorders>
                    <w:tl2br w:val="nil"/>
                    <w:tr2bl w:val="nil"/>
                  </w:tcBorders>
                  <w:noWrap w:val="0"/>
                  <w:tcMar>
                    <w:left w:w="0" w:type="dxa"/>
                    <w:right w:w="0" w:type="dxa"/>
                  </w:tcMar>
                  <w:vAlign w:val="center"/>
                </w:tcPr>
                <w:p w14:paraId="7C64520B">
                  <w:pPr>
                    <w:spacing w:line="240" w:lineRule="auto"/>
                    <w:jc w:val="center"/>
                    <w:rPr>
                      <w:rFonts w:hint="eastAsia" w:ascii="Times New Roman" w:hAnsi="Times New Roman" w:eastAsia="宋体" w:cs="Times New Roman"/>
                      <w:sz w:val="21"/>
                      <w:szCs w:val="21"/>
                    </w:rPr>
                  </w:pPr>
                </w:p>
              </w:tc>
            </w:tr>
          </w:tbl>
          <w:p w14:paraId="04C9EF2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b/>
                <w:color w:val="auto"/>
                <w:sz w:val="21"/>
                <w:szCs w:val="21"/>
              </w:rPr>
            </w:pPr>
          </w:p>
          <w:p w14:paraId="7E07A32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b/>
                <w:color w:val="auto"/>
                <w:sz w:val="21"/>
                <w:szCs w:val="21"/>
              </w:rPr>
            </w:pPr>
            <w:r>
              <w:rPr>
                <w:rFonts w:hint="eastAsia"/>
                <w:b/>
                <w:color w:val="auto"/>
                <w:sz w:val="21"/>
                <w:szCs w:val="21"/>
              </w:rPr>
              <w:t>表</w:t>
            </w:r>
            <w:r>
              <w:rPr>
                <w:rFonts w:hint="eastAsia"/>
                <w:b/>
                <w:color w:val="auto"/>
                <w:sz w:val="21"/>
                <w:szCs w:val="21"/>
                <w:lang w:val="en-US" w:eastAsia="zh-CN"/>
              </w:rPr>
              <w:t>6-2</w:t>
            </w:r>
            <w:r>
              <w:rPr>
                <w:b/>
                <w:color w:val="auto"/>
                <w:sz w:val="21"/>
                <w:szCs w:val="21"/>
              </w:rPr>
              <w:t xml:space="preserve"> </w:t>
            </w:r>
            <w:r>
              <w:rPr>
                <w:rFonts w:hint="eastAsia"/>
                <w:b/>
                <w:color w:val="auto"/>
                <w:sz w:val="21"/>
                <w:szCs w:val="21"/>
                <w:lang w:val="en-US" w:eastAsia="zh-CN"/>
              </w:rPr>
              <w:t xml:space="preserve"> 噪声</w:t>
            </w:r>
            <w:r>
              <w:rPr>
                <w:rFonts w:hint="eastAsia"/>
                <w:b/>
                <w:color w:val="auto"/>
                <w:sz w:val="21"/>
                <w:szCs w:val="21"/>
              </w:rPr>
              <w:t>评价标准</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0"/>
              <w:gridCol w:w="1669"/>
              <w:gridCol w:w="1031"/>
              <w:gridCol w:w="1763"/>
              <w:gridCol w:w="3588"/>
            </w:tblGrid>
            <w:tr w14:paraId="0D05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020" w:type="dxa"/>
                  <w:vMerge w:val="restart"/>
                  <w:tcBorders>
                    <w:top w:val="single" w:color="auto" w:sz="12" w:space="0"/>
                    <w:left w:val="nil"/>
                  </w:tcBorders>
                  <w:noWrap w:val="0"/>
                  <w:vAlign w:val="center"/>
                </w:tcPr>
                <w:p w14:paraId="1F223A0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检测</w:t>
                  </w:r>
                </w:p>
                <w:p w14:paraId="1D41603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w:t>
                  </w:r>
                </w:p>
              </w:tc>
              <w:tc>
                <w:tcPr>
                  <w:tcW w:w="1669" w:type="dxa"/>
                  <w:vMerge w:val="restart"/>
                  <w:tcBorders>
                    <w:top w:val="single" w:color="auto" w:sz="12" w:space="0"/>
                  </w:tcBorders>
                  <w:noWrap w:val="0"/>
                  <w:vAlign w:val="center"/>
                </w:tcPr>
                <w:p w14:paraId="7618CBB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检测</w:t>
                  </w:r>
                  <w:r>
                    <w:rPr>
                      <w:rFonts w:hint="default" w:ascii="Times New Roman" w:hAnsi="Times New Roman" w:cs="Times New Roman"/>
                      <w:color w:val="auto"/>
                      <w:sz w:val="21"/>
                      <w:szCs w:val="21"/>
                    </w:rPr>
                    <w:t>点位</w:t>
                  </w:r>
                </w:p>
              </w:tc>
              <w:tc>
                <w:tcPr>
                  <w:tcW w:w="1031" w:type="dxa"/>
                  <w:vMerge w:val="restart"/>
                  <w:tcBorders>
                    <w:top w:val="single" w:color="auto" w:sz="12" w:space="0"/>
                  </w:tcBorders>
                  <w:noWrap w:val="0"/>
                  <w:vAlign w:val="center"/>
                </w:tcPr>
                <w:p w14:paraId="39C8A0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1763" w:type="dxa"/>
                  <w:tcBorders>
                    <w:top w:val="single" w:color="auto" w:sz="12" w:space="0"/>
                    <w:bottom w:val="single" w:color="auto" w:sz="2" w:space="0"/>
                  </w:tcBorders>
                  <w:noWrap w:val="0"/>
                  <w:vAlign w:val="center"/>
                </w:tcPr>
                <w:p w14:paraId="461F2D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标准限值dB(A)</w:t>
                  </w:r>
                </w:p>
              </w:tc>
              <w:tc>
                <w:tcPr>
                  <w:tcW w:w="3588" w:type="dxa"/>
                  <w:vMerge w:val="restart"/>
                  <w:tcBorders>
                    <w:top w:val="single" w:color="auto" w:sz="12" w:space="0"/>
                    <w:right w:val="nil"/>
                  </w:tcBorders>
                  <w:noWrap w:val="0"/>
                  <w:vAlign w:val="center"/>
                </w:tcPr>
                <w:p w14:paraId="27D6F6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标准名称及编号</w:t>
                  </w:r>
                </w:p>
              </w:tc>
            </w:tr>
            <w:tr w14:paraId="0014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blHeader/>
                <w:jc w:val="center"/>
              </w:trPr>
              <w:tc>
                <w:tcPr>
                  <w:tcW w:w="1020" w:type="dxa"/>
                  <w:vMerge w:val="continue"/>
                  <w:tcBorders>
                    <w:left w:val="nil"/>
                  </w:tcBorders>
                  <w:noWrap w:val="0"/>
                  <w:vAlign w:val="center"/>
                </w:tcPr>
                <w:p w14:paraId="7D234E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p>
              </w:tc>
              <w:tc>
                <w:tcPr>
                  <w:tcW w:w="1669" w:type="dxa"/>
                  <w:vMerge w:val="continue"/>
                  <w:noWrap w:val="0"/>
                  <w:vAlign w:val="center"/>
                </w:tcPr>
                <w:p w14:paraId="5C45094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p>
              </w:tc>
              <w:tc>
                <w:tcPr>
                  <w:tcW w:w="1031" w:type="dxa"/>
                  <w:vMerge w:val="continue"/>
                  <w:noWrap w:val="0"/>
                  <w:vAlign w:val="center"/>
                </w:tcPr>
                <w:p w14:paraId="55B67DD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p>
              </w:tc>
              <w:tc>
                <w:tcPr>
                  <w:tcW w:w="1763" w:type="dxa"/>
                  <w:tcBorders>
                    <w:top w:val="single" w:color="auto" w:sz="2" w:space="0"/>
                  </w:tcBorders>
                  <w:noWrap w:val="0"/>
                  <w:vAlign w:val="center"/>
                </w:tcPr>
                <w:p w14:paraId="0DE3282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昼间</w:t>
                  </w:r>
                </w:p>
              </w:tc>
              <w:tc>
                <w:tcPr>
                  <w:tcW w:w="3588" w:type="dxa"/>
                  <w:vMerge w:val="continue"/>
                  <w:tcBorders>
                    <w:right w:val="nil"/>
                  </w:tcBorders>
                  <w:noWrap w:val="0"/>
                  <w:vAlign w:val="center"/>
                </w:tcPr>
                <w:p w14:paraId="39DB810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p>
              </w:tc>
            </w:tr>
            <w:tr w14:paraId="6C0A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tblHeader/>
                <w:jc w:val="center"/>
              </w:trPr>
              <w:tc>
                <w:tcPr>
                  <w:tcW w:w="1020" w:type="dxa"/>
                  <w:tcBorders>
                    <w:left w:val="nil"/>
                    <w:bottom w:val="single" w:color="auto" w:sz="12" w:space="0"/>
                  </w:tcBorders>
                  <w:noWrap w:val="0"/>
                  <w:vAlign w:val="center"/>
                </w:tcPr>
                <w:p w14:paraId="0AD5C8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厂界噪声</w:t>
                  </w:r>
                </w:p>
              </w:tc>
              <w:tc>
                <w:tcPr>
                  <w:tcW w:w="1669" w:type="dxa"/>
                  <w:tcBorders>
                    <w:bottom w:val="single" w:color="auto" w:sz="12" w:space="0"/>
                  </w:tcBorders>
                  <w:noWrap w:val="0"/>
                  <w:vAlign w:val="center"/>
                </w:tcPr>
                <w:p w14:paraId="2C030A3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position w:val="6"/>
                      <w:sz w:val="21"/>
                      <w:szCs w:val="21"/>
                    </w:rPr>
                  </w:pPr>
                  <w:r>
                    <w:rPr>
                      <w:rFonts w:hint="eastAsia" w:ascii="Times New Roman" w:hAnsi="Times New Roman" w:cs="Times New Roman"/>
                      <w:color w:val="auto"/>
                      <w:position w:val="6"/>
                      <w:sz w:val="21"/>
                      <w:szCs w:val="21"/>
                      <w:vertAlign w:val="baseline"/>
                      <w:lang w:val="en-US" w:eastAsia="zh-CN"/>
                    </w:rPr>
                    <w:t>1</w:t>
                  </w:r>
                  <w:r>
                    <w:rPr>
                      <w:rFonts w:hint="default" w:ascii="Times New Roman" w:hAnsi="Times New Roman" w:cs="Times New Roman"/>
                      <w:color w:val="auto"/>
                      <w:position w:val="6"/>
                      <w:sz w:val="21"/>
                      <w:szCs w:val="21"/>
                      <w:vertAlign w:val="baseline"/>
                    </w:rPr>
                    <w:t>#</w:t>
                  </w:r>
                  <w:r>
                    <w:rPr>
                      <w:rFonts w:hint="eastAsia" w:ascii="Times New Roman" w:hAnsi="Times New Roman" w:cs="Times New Roman"/>
                      <w:color w:val="auto"/>
                      <w:position w:val="6"/>
                      <w:sz w:val="21"/>
                      <w:szCs w:val="21"/>
                      <w:vertAlign w:val="baseline"/>
                      <w:lang w:eastAsia="zh-CN"/>
                    </w:rPr>
                    <w:t>、</w:t>
                  </w:r>
                  <w:r>
                    <w:rPr>
                      <w:rFonts w:hint="eastAsia" w:ascii="Times New Roman" w:hAnsi="Times New Roman" w:cs="Times New Roman"/>
                      <w:color w:val="auto"/>
                      <w:position w:val="6"/>
                      <w:sz w:val="21"/>
                      <w:szCs w:val="21"/>
                      <w:vertAlign w:val="baseline"/>
                      <w:lang w:val="en-US" w:eastAsia="zh-CN"/>
                    </w:rPr>
                    <w:t>2</w:t>
                  </w:r>
                  <w:r>
                    <w:rPr>
                      <w:rFonts w:hint="default" w:ascii="Times New Roman" w:hAnsi="Times New Roman" w:cs="Times New Roman"/>
                      <w:color w:val="auto"/>
                      <w:position w:val="6"/>
                      <w:sz w:val="21"/>
                      <w:szCs w:val="21"/>
                      <w:vertAlign w:val="baseline"/>
                    </w:rPr>
                    <w:t>#</w:t>
                  </w:r>
                  <w:r>
                    <w:rPr>
                      <w:rFonts w:hint="eastAsia" w:ascii="Times New Roman" w:hAnsi="Times New Roman" w:cs="Times New Roman"/>
                      <w:color w:val="auto"/>
                      <w:position w:val="6"/>
                      <w:sz w:val="21"/>
                      <w:szCs w:val="21"/>
                      <w:vertAlign w:val="baseline"/>
                      <w:lang w:eastAsia="zh-CN"/>
                    </w:rPr>
                    <w:t>、</w:t>
                  </w:r>
                  <w:r>
                    <w:rPr>
                      <w:rFonts w:hint="eastAsia" w:ascii="Times New Roman" w:hAnsi="Times New Roman" w:cs="Times New Roman"/>
                      <w:color w:val="auto"/>
                      <w:position w:val="6"/>
                      <w:sz w:val="21"/>
                      <w:szCs w:val="21"/>
                      <w:vertAlign w:val="baseline"/>
                      <w:lang w:val="en-US" w:eastAsia="zh-CN"/>
                    </w:rPr>
                    <w:t>3</w:t>
                  </w:r>
                  <w:r>
                    <w:rPr>
                      <w:rFonts w:hint="default" w:ascii="Times New Roman" w:hAnsi="Times New Roman" w:cs="Times New Roman"/>
                      <w:color w:val="auto"/>
                      <w:position w:val="6"/>
                      <w:sz w:val="21"/>
                      <w:szCs w:val="21"/>
                      <w:vertAlign w:val="baseline"/>
                    </w:rPr>
                    <w:t>#</w:t>
                  </w:r>
                  <w:r>
                    <w:rPr>
                      <w:rFonts w:hint="eastAsia" w:ascii="Times New Roman" w:hAnsi="Times New Roman" w:cs="Times New Roman"/>
                      <w:color w:val="auto"/>
                      <w:position w:val="6"/>
                      <w:sz w:val="21"/>
                      <w:szCs w:val="21"/>
                      <w:vertAlign w:val="baseline"/>
                      <w:lang w:eastAsia="zh-CN"/>
                    </w:rPr>
                    <w:t>、</w:t>
                  </w:r>
                  <w:r>
                    <w:rPr>
                      <w:rFonts w:hint="eastAsia" w:ascii="Times New Roman" w:hAnsi="Times New Roman" w:cs="Times New Roman"/>
                      <w:color w:val="auto"/>
                      <w:position w:val="6"/>
                      <w:sz w:val="21"/>
                      <w:szCs w:val="21"/>
                      <w:vertAlign w:val="baseline"/>
                      <w:lang w:val="en-US" w:eastAsia="zh-CN"/>
                    </w:rPr>
                    <w:t>4</w:t>
                  </w:r>
                  <w:r>
                    <w:rPr>
                      <w:rFonts w:hint="default" w:ascii="Times New Roman" w:hAnsi="Times New Roman" w:cs="Times New Roman"/>
                      <w:color w:val="auto"/>
                      <w:position w:val="6"/>
                      <w:sz w:val="21"/>
                      <w:szCs w:val="21"/>
                      <w:vertAlign w:val="baseline"/>
                    </w:rPr>
                    <w:t>#</w:t>
                  </w:r>
                </w:p>
              </w:tc>
              <w:tc>
                <w:tcPr>
                  <w:tcW w:w="1031" w:type="dxa"/>
                  <w:tcBorders>
                    <w:top w:val="single" w:color="auto" w:sz="4" w:space="0"/>
                    <w:bottom w:val="single" w:color="auto" w:sz="12" w:space="0"/>
                  </w:tcBorders>
                  <w:noWrap w:val="0"/>
                  <w:vAlign w:val="center"/>
                </w:tcPr>
                <w:p w14:paraId="11D2D01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类</w:t>
                  </w:r>
                </w:p>
              </w:tc>
              <w:tc>
                <w:tcPr>
                  <w:tcW w:w="1763" w:type="dxa"/>
                  <w:tcBorders>
                    <w:top w:val="single" w:color="auto" w:sz="4" w:space="0"/>
                    <w:bottom w:val="single" w:color="auto" w:sz="12" w:space="0"/>
                  </w:tcBorders>
                  <w:noWrap w:val="0"/>
                  <w:vAlign w:val="center"/>
                </w:tcPr>
                <w:p w14:paraId="17FA371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position w:val="6"/>
                      <w:sz w:val="21"/>
                      <w:szCs w:val="21"/>
                      <w:lang w:val="en-US" w:eastAsia="zh-CN"/>
                    </w:rPr>
                  </w:pPr>
                  <w:r>
                    <w:rPr>
                      <w:rFonts w:hint="eastAsia" w:ascii="Times New Roman" w:hAnsi="Times New Roman" w:cs="Times New Roman"/>
                      <w:color w:val="auto"/>
                      <w:position w:val="6"/>
                      <w:sz w:val="21"/>
                      <w:szCs w:val="21"/>
                      <w:lang w:val="en-US" w:eastAsia="zh-CN"/>
                    </w:rPr>
                    <w:t>60</w:t>
                  </w:r>
                </w:p>
              </w:tc>
              <w:tc>
                <w:tcPr>
                  <w:tcW w:w="3588" w:type="dxa"/>
                  <w:tcBorders>
                    <w:bottom w:val="single" w:color="auto" w:sz="12" w:space="0"/>
                    <w:right w:val="nil"/>
                  </w:tcBorders>
                  <w:noWrap w:val="0"/>
                  <w:tcMar>
                    <w:left w:w="0" w:type="dxa"/>
                    <w:right w:w="0" w:type="dxa"/>
                  </w:tcMar>
                  <w:vAlign w:val="center"/>
                </w:tcPr>
                <w:p w14:paraId="74FEF59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rPr>
                  </w:pPr>
                  <w:r>
                    <w:rPr>
                      <w:rFonts w:hint="eastAsia"/>
                      <w:color w:val="auto"/>
                      <w:sz w:val="21"/>
                      <w:szCs w:val="21"/>
                    </w:rPr>
                    <w:t>《工业企业厂界环境噪声排放标准》</w:t>
                  </w:r>
                </w:p>
                <w:p w14:paraId="4B4764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rPr>
                  </w:pPr>
                  <w:r>
                    <w:rPr>
                      <w:color w:val="auto"/>
                      <w:sz w:val="21"/>
                      <w:szCs w:val="21"/>
                    </w:rPr>
                    <w:t>GB</w:t>
                  </w:r>
                  <w:r>
                    <w:rPr>
                      <w:rFonts w:hint="eastAsia"/>
                      <w:color w:val="auto"/>
                      <w:sz w:val="21"/>
                      <w:szCs w:val="21"/>
                      <w:lang w:val="en-US" w:eastAsia="zh-CN"/>
                    </w:rPr>
                    <w:t xml:space="preserve"> </w:t>
                  </w:r>
                  <w:r>
                    <w:rPr>
                      <w:color w:val="auto"/>
                      <w:sz w:val="21"/>
                      <w:szCs w:val="21"/>
                    </w:rPr>
                    <w:t>12348</w:t>
                  </w:r>
                  <w:r>
                    <w:rPr>
                      <w:rFonts w:hint="eastAsia"/>
                      <w:color w:val="auto"/>
                      <w:sz w:val="21"/>
                      <w:szCs w:val="21"/>
                      <w:lang w:val="en-US" w:eastAsia="zh-CN"/>
                    </w:rPr>
                    <w:t>-</w:t>
                  </w:r>
                  <w:r>
                    <w:rPr>
                      <w:color w:val="auto"/>
                      <w:sz w:val="21"/>
                      <w:szCs w:val="21"/>
                    </w:rPr>
                    <w:t>2008</w:t>
                  </w:r>
                  <w:r>
                    <w:rPr>
                      <w:rFonts w:hint="eastAsia"/>
                      <w:color w:val="auto"/>
                      <w:sz w:val="21"/>
                      <w:szCs w:val="21"/>
                    </w:rPr>
                    <w:t>表</w:t>
                  </w:r>
                  <w:r>
                    <w:rPr>
                      <w:color w:val="auto"/>
                      <w:sz w:val="21"/>
                      <w:szCs w:val="21"/>
                    </w:rPr>
                    <w:t>1</w:t>
                  </w:r>
                </w:p>
              </w:tc>
            </w:tr>
          </w:tbl>
          <w:p w14:paraId="17C60ABD">
            <w:pPr>
              <w:keepNext w:val="0"/>
              <w:keepLines w:val="0"/>
              <w:pageBreakBefore w:val="0"/>
              <w:widowControl w:val="0"/>
              <w:tabs>
                <w:tab w:val="left" w:pos="1922"/>
              </w:tabs>
              <w:kinsoku/>
              <w:wordWrap/>
              <w:overflowPunct/>
              <w:topLinePunct w:val="0"/>
              <w:autoSpaceDE/>
              <w:autoSpaceDN/>
              <w:bidi w:val="0"/>
              <w:adjustRightInd w:val="0"/>
              <w:snapToGrid w:val="0"/>
              <w:spacing w:beforeLines="50" w:line="240" w:lineRule="auto"/>
              <w:jc w:val="center"/>
              <w:textAlignment w:val="auto"/>
              <w:rPr>
                <w:rFonts w:hint="eastAsia"/>
                <w:color w:val="auto"/>
              </w:rPr>
            </w:pPr>
            <w:r>
              <w:rPr>
                <w:rFonts w:hint="eastAsia"/>
                <w:b/>
                <w:color w:val="auto"/>
                <w:sz w:val="21"/>
                <w:szCs w:val="21"/>
              </w:rPr>
              <w:t>表</w:t>
            </w:r>
            <w:r>
              <w:rPr>
                <w:rFonts w:hint="eastAsia"/>
                <w:b/>
                <w:color w:val="auto"/>
                <w:sz w:val="21"/>
                <w:szCs w:val="21"/>
                <w:lang w:val="en-US" w:eastAsia="zh-CN"/>
              </w:rPr>
              <w:t>6</w:t>
            </w:r>
            <w:r>
              <w:rPr>
                <w:b/>
                <w:color w:val="auto"/>
                <w:sz w:val="21"/>
                <w:szCs w:val="21"/>
              </w:rPr>
              <w:t>-</w:t>
            </w:r>
            <w:r>
              <w:rPr>
                <w:rFonts w:hint="eastAsia"/>
                <w:b/>
                <w:color w:val="auto"/>
                <w:sz w:val="21"/>
                <w:szCs w:val="21"/>
                <w:lang w:val="en-US" w:eastAsia="zh-CN"/>
              </w:rPr>
              <w:t>3</w:t>
            </w:r>
            <w:r>
              <w:rPr>
                <w:b/>
                <w:color w:val="auto"/>
                <w:sz w:val="21"/>
                <w:szCs w:val="21"/>
              </w:rPr>
              <w:t xml:space="preserve"> </w:t>
            </w:r>
            <w:r>
              <w:rPr>
                <w:rFonts w:hint="eastAsia"/>
                <w:b/>
                <w:color w:val="auto"/>
                <w:sz w:val="21"/>
                <w:szCs w:val="21"/>
                <w:lang w:val="en-US" w:eastAsia="zh-CN"/>
              </w:rPr>
              <w:t>有组织</w:t>
            </w:r>
            <w:r>
              <w:rPr>
                <w:rFonts w:hint="eastAsia"/>
                <w:b/>
                <w:color w:val="auto"/>
                <w:sz w:val="21"/>
                <w:szCs w:val="21"/>
                <w:lang w:eastAsia="zh-CN"/>
              </w:rPr>
              <w:t>废气</w:t>
            </w:r>
            <w:r>
              <w:rPr>
                <w:rFonts w:hint="eastAsia"/>
                <w:b/>
                <w:color w:val="auto"/>
                <w:sz w:val="21"/>
                <w:szCs w:val="21"/>
              </w:rPr>
              <w:t>评价标准</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71"/>
              <w:gridCol w:w="1350"/>
              <w:gridCol w:w="1004"/>
              <w:gridCol w:w="904"/>
              <w:gridCol w:w="860"/>
              <w:gridCol w:w="3682"/>
            </w:tblGrid>
            <w:tr w14:paraId="1CD7E3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271" w:type="dxa"/>
                  <w:vMerge w:val="restart"/>
                  <w:tcBorders>
                    <w:tl2br w:val="nil"/>
                    <w:tr2bl w:val="nil"/>
                  </w:tcBorders>
                  <w:noWrap w:val="0"/>
                  <w:vAlign w:val="center"/>
                </w:tcPr>
                <w:p w14:paraId="418C27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ascii="宋体" w:hAnsi="宋体" w:eastAsia="宋体" w:cs="宋体"/>
                      <w:color w:val="000000"/>
                      <w:sz w:val="21"/>
                      <w:szCs w:val="21"/>
                      <w:lang w:eastAsia="zh-CN"/>
                    </w:rPr>
                    <w:t>点位</w:t>
                  </w:r>
                </w:p>
              </w:tc>
              <w:tc>
                <w:tcPr>
                  <w:tcW w:w="1350" w:type="dxa"/>
                  <w:vMerge w:val="restart"/>
                  <w:tcBorders>
                    <w:tl2br w:val="nil"/>
                    <w:tr2bl w:val="nil"/>
                  </w:tcBorders>
                  <w:noWrap w:val="0"/>
                  <w:vAlign w:val="center"/>
                </w:tcPr>
                <w:p w14:paraId="5E444B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000000"/>
                      <w:sz w:val="21"/>
                      <w:szCs w:val="21"/>
                      <w:lang w:eastAsia="zh-CN"/>
                    </w:rPr>
                    <w:t>控制项目</w:t>
                  </w:r>
                </w:p>
              </w:tc>
              <w:tc>
                <w:tcPr>
                  <w:tcW w:w="1908" w:type="dxa"/>
                  <w:gridSpan w:val="2"/>
                  <w:tcBorders>
                    <w:tl2br w:val="nil"/>
                    <w:tr2bl w:val="nil"/>
                  </w:tcBorders>
                  <w:noWrap w:val="0"/>
                  <w:vAlign w:val="center"/>
                </w:tcPr>
                <w:p w14:paraId="2EF973D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sz w:val="21"/>
                      <w:szCs w:val="21"/>
                    </w:rPr>
                    <w:t>标准限值</w:t>
                  </w:r>
                </w:p>
              </w:tc>
              <w:tc>
                <w:tcPr>
                  <w:tcW w:w="860" w:type="dxa"/>
                  <w:vMerge w:val="restart"/>
                  <w:tcBorders>
                    <w:tl2br w:val="nil"/>
                    <w:tr2bl w:val="nil"/>
                  </w:tcBorders>
                  <w:noWrap w:val="0"/>
                  <w:vAlign w:val="center"/>
                </w:tcPr>
                <w:p w14:paraId="578FA1B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排气筒</w:t>
                  </w:r>
                </w:p>
                <w:p w14:paraId="716FAE9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000000"/>
                      <w:sz w:val="21"/>
                      <w:szCs w:val="21"/>
                      <w:lang w:val="en-US" w:eastAsia="zh-CN"/>
                    </w:rPr>
                    <w:t>高度</w:t>
                  </w:r>
                </w:p>
              </w:tc>
              <w:tc>
                <w:tcPr>
                  <w:tcW w:w="3682" w:type="dxa"/>
                  <w:vMerge w:val="restart"/>
                  <w:tcBorders>
                    <w:tl2br w:val="nil"/>
                    <w:tr2bl w:val="nil"/>
                  </w:tcBorders>
                  <w:noWrap w:val="0"/>
                  <w:vAlign w:val="center"/>
                </w:tcPr>
                <w:p w14:paraId="656B5C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000000"/>
                      <w:sz w:val="21"/>
                      <w:szCs w:val="21"/>
                    </w:rPr>
                    <w:t>标准名称及编号</w:t>
                  </w:r>
                </w:p>
              </w:tc>
            </w:tr>
            <w:tr w14:paraId="2B264D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271" w:type="dxa"/>
                  <w:vMerge w:val="continue"/>
                  <w:tcBorders>
                    <w:tl2br w:val="nil"/>
                    <w:tr2bl w:val="nil"/>
                  </w:tcBorders>
                  <w:noWrap w:val="0"/>
                  <w:vAlign w:val="center"/>
                </w:tcPr>
                <w:p w14:paraId="2CBB665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lang w:eastAsia="zh-CN"/>
                    </w:rPr>
                  </w:pPr>
                </w:p>
              </w:tc>
              <w:tc>
                <w:tcPr>
                  <w:tcW w:w="1350" w:type="dxa"/>
                  <w:vMerge w:val="continue"/>
                  <w:tcBorders>
                    <w:tl2br w:val="nil"/>
                    <w:tr2bl w:val="nil"/>
                  </w:tcBorders>
                  <w:noWrap w:val="0"/>
                  <w:vAlign w:val="center"/>
                </w:tcPr>
                <w:p w14:paraId="3C172E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1004" w:type="dxa"/>
                  <w:tcBorders>
                    <w:tl2br w:val="nil"/>
                    <w:tr2bl w:val="nil"/>
                  </w:tcBorders>
                  <w:noWrap w:val="0"/>
                  <w:vAlign w:val="center"/>
                </w:tcPr>
                <w:p w14:paraId="3AA966D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lang w:val="en-US" w:eastAsia="zh-CN"/>
                    </w:rPr>
                  </w:pPr>
                  <w:r>
                    <w:rPr>
                      <w:rFonts w:hint="eastAsia" w:ascii="Times New Roman" w:hAnsi="Times New Roman" w:cs="Times New Roman"/>
                      <w:color w:val="000000"/>
                      <w:sz w:val="21"/>
                      <w:szCs w:val="21"/>
                      <w:lang w:val="en-US" w:eastAsia="zh-CN"/>
                    </w:rPr>
                    <w:t>浓度</w:t>
                  </w:r>
                  <w:r>
                    <w:rPr>
                      <w:rFonts w:hint="default" w:ascii="Times New Roman" w:hAnsi="Times New Roman" w:cs="Times New Roman"/>
                      <w:color w:val="000000"/>
                      <w:sz w:val="21"/>
                      <w:szCs w:val="21"/>
                      <w:lang w:val="en-US" w:eastAsia="zh-CN"/>
                    </w:rPr>
                    <w:t>（</w:t>
                  </w:r>
                  <w:r>
                    <w:rPr>
                      <w:rFonts w:hint="default" w:ascii="Times New Roman" w:hAnsi="Times New Roman" w:cs="Times New Roman"/>
                      <w:color w:val="000000"/>
                      <w:spacing w:val="-4"/>
                      <w:sz w:val="21"/>
                      <w:szCs w:val="21"/>
                    </w:rPr>
                    <w:t>mg/</w:t>
                  </w:r>
                  <w:r>
                    <w:rPr>
                      <w:rFonts w:hint="default" w:ascii="Times New Roman" w:hAnsi="Times New Roman" w:cs="Times New Roman"/>
                      <w:color w:val="000000"/>
                      <w:spacing w:val="-4"/>
                      <w:sz w:val="21"/>
                      <w:szCs w:val="21"/>
                      <w:lang w:val="en-US" w:eastAsia="zh-CN"/>
                    </w:rPr>
                    <w:t>m³</w:t>
                  </w:r>
                  <w:r>
                    <w:rPr>
                      <w:rFonts w:hint="default" w:ascii="Times New Roman" w:hAnsi="Times New Roman" w:cs="Times New Roman"/>
                      <w:color w:val="000000"/>
                      <w:sz w:val="21"/>
                      <w:szCs w:val="21"/>
                      <w:lang w:val="en-US" w:eastAsia="zh-CN"/>
                    </w:rPr>
                    <w:t>）</w:t>
                  </w:r>
                </w:p>
              </w:tc>
              <w:tc>
                <w:tcPr>
                  <w:tcW w:w="904" w:type="dxa"/>
                  <w:tcBorders>
                    <w:tl2br w:val="nil"/>
                    <w:tr2bl w:val="nil"/>
                  </w:tcBorders>
                  <w:noWrap w:val="0"/>
                  <w:vAlign w:val="center"/>
                </w:tcPr>
                <w:p w14:paraId="295EC81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pPr>
                  <w:r>
                    <w:rPr>
                      <w:rFonts w:hint="eastAsia" w:ascii="Times New Roman" w:hAnsi="Times New Roman" w:cs="Times New Roman"/>
                      <w:color w:val="000000"/>
                      <w:sz w:val="21"/>
                      <w:szCs w:val="21"/>
                      <w:lang w:val="en-US" w:eastAsia="zh-CN"/>
                    </w:rPr>
                    <w:t>排放速率（kg/h）</w:t>
                  </w:r>
                </w:p>
              </w:tc>
              <w:tc>
                <w:tcPr>
                  <w:tcW w:w="860" w:type="dxa"/>
                  <w:vMerge w:val="continue"/>
                  <w:tcBorders>
                    <w:tl2br w:val="nil"/>
                    <w:tr2bl w:val="nil"/>
                  </w:tcBorders>
                  <w:noWrap w:val="0"/>
                  <w:vAlign w:val="center"/>
                </w:tcPr>
                <w:p w14:paraId="08CA9F8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p>
              </w:tc>
              <w:tc>
                <w:tcPr>
                  <w:tcW w:w="3682" w:type="dxa"/>
                  <w:vMerge w:val="continue"/>
                  <w:tcBorders>
                    <w:tl2br w:val="nil"/>
                    <w:tr2bl w:val="nil"/>
                  </w:tcBorders>
                  <w:noWrap w:val="0"/>
                  <w:vAlign w:val="center"/>
                </w:tcPr>
                <w:p w14:paraId="0F22D6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p>
              </w:tc>
            </w:tr>
            <w:tr w14:paraId="0D363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restart"/>
                  <w:tcBorders>
                    <w:tl2br w:val="nil"/>
                    <w:tr2bl w:val="nil"/>
                  </w:tcBorders>
                  <w:noWrap w:val="0"/>
                  <w:vAlign w:val="center"/>
                </w:tcPr>
                <w:p w14:paraId="0CF67EC1">
                  <w:pPr>
                    <w:spacing w:line="240" w:lineRule="auto"/>
                    <w:jc w:val="center"/>
                    <w:rPr>
                      <w:rFonts w:hint="eastAsia" w:eastAsia="宋体"/>
                      <w:color w:val="auto"/>
                      <w:sz w:val="21"/>
                      <w:szCs w:val="21"/>
                      <w:lang w:eastAsia="zh-CN"/>
                    </w:rPr>
                  </w:pPr>
                  <w:r>
                    <w:rPr>
                      <w:rFonts w:hint="eastAsia" w:ascii="Times New Roman" w:hAnsi="Times New Roman" w:eastAsia="宋体" w:cs="Times New Roman"/>
                      <w:color w:val="auto"/>
                      <w:sz w:val="21"/>
                      <w:szCs w:val="21"/>
                      <w:lang w:val="en-US" w:eastAsia="zh-CN"/>
                    </w:rPr>
                    <w:t>1#除臭废气排气筒出口</w:t>
                  </w:r>
                </w:p>
              </w:tc>
              <w:tc>
                <w:tcPr>
                  <w:tcW w:w="1350" w:type="dxa"/>
                  <w:tcBorders>
                    <w:tl2br w:val="nil"/>
                    <w:tr2bl w:val="nil"/>
                  </w:tcBorders>
                  <w:noWrap w:val="0"/>
                  <w:vAlign w:val="center"/>
                </w:tcPr>
                <w:p w14:paraId="290973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vertAlign w:val="baseline"/>
                      <w:lang w:val="en-US" w:eastAsia="zh-CN"/>
                    </w:rPr>
                  </w:pPr>
                  <w:r>
                    <w:rPr>
                      <w:rFonts w:hint="eastAsia" w:ascii="Times New Roman" w:hAnsi="Times New Roman"/>
                      <w:color w:val="000000"/>
                      <w:sz w:val="21"/>
                      <w:szCs w:val="21"/>
                      <w:lang w:val="en-US" w:eastAsia="zh-CN"/>
                    </w:rPr>
                    <w:t>硫化氢</w:t>
                  </w:r>
                </w:p>
              </w:tc>
              <w:tc>
                <w:tcPr>
                  <w:tcW w:w="1004" w:type="dxa"/>
                  <w:tcBorders>
                    <w:tl2br w:val="nil"/>
                    <w:tr2bl w:val="nil"/>
                  </w:tcBorders>
                  <w:noWrap w:val="0"/>
                  <w:vAlign w:val="center"/>
                </w:tcPr>
                <w:p w14:paraId="63CDB7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color w:val="000000"/>
                      <w:position w:val="6"/>
                      <w:sz w:val="21"/>
                      <w:szCs w:val="21"/>
                      <w:lang w:val="en-US" w:eastAsia="zh-CN"/>
                    </w:rPr>
                    <w:t>/</w:t>
                  </w:r>
                </w:p>
              </w:tc>
              <w:tc>
                <w:tcPr>
                  <w:tcW w:w="904" w:type="dxa"/>
                  <w:tcBorders>
                    <w:tl2br w:val="nil"/>
                    <w:tr2bl w:val="nil"/>
                  </w:tcBorders>
                  <w:noWrap w:val="0"/>
                  <w:vAlign w:val="center"/>
                </w:tcPr>
                <w:p w14:paraId="68EDFCE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position w:val="6"/>
                      <w:sz w:val="21"/>
                      <w:szCs w:val="21"/>
                      <w:lang w:val="en-US" w:eastAsia="zh-CN"/>
                    </w:rPr>
                  </w:pPr>
                  <w:r>
                    <w:rPr>
                      <w:rFonts w:hint="eastAsia" w:ascii="Times New Roman" w:hAnsi="Times New Roman" w:eastAsia="宋体" w:cs="Times New Roman"/>
                      <w:color w:val="000000"/>
                      <w:position w:val="6"/>
                      <w:sz w:val="21"/>
                      <w:szCs w:val="21"/>
                      <w:lang w:val="en-US" w:eastAsia="zh-CN"/>
                    </w:rPr>
                    <w:t>0.33</w:t>
                  </w:r>
                </w:p>
              </w:tc>
              <w:tc>
                <w:tcPr>
                  <w:tcW w:w="860" w:type="dxa"/>
                  <w:vMerge w:val="restart"/>
                  <w:tcBorders>
                    <w:tl2br w:val="nil"/>
                    <w:tr2bl w:val="nil"/>
                  </w:tcBorders>
                  <w:noWrap w:val="0"/>
                  <w:tcMar>
                    <w:left w:w="0" w:type="dxa"/>
                    <w:right w:w="0" w:type="dxa"/>
                  </w:tcMar>
                  <w:vAlign w:val="center"/>
                </w:tcPr>
                <w:p w14:paraId="60DF8F2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lang w:val="en-US" w:eastAsia="zh-CN"/>
                    </w:rPr>
                  </w:pPr>
                  <w:r>
                    <w:rPr>
                      <w:rFonts w:hint="eastAsia" w:ascii="Times New Roman" w:hAnsi="Times New Roman" w:eastAsia="宋体" w:cs="Times New Roman"/>
                      <w:bCs/>
                      <w:color w:val="000000"/>
                      <w:sz w:val="21"/>
                      <w:szCs w:val="21"/>
                      <w:lang w:val="en-US" w:eastAsia="zh-CN"/>
                    </w:rPr>
                    <w:t>15m</w:t>
                  </w:r>
                </w:p>
              </w:tc>
              <w:tc>
                <w:tcPr>
                  <w:tcW w:w="3682" w:type="dxa"/>
                  <w:vMerge w:val="restart"/>
                  <w:tcBorders>
                    <w:tl2br w:val="nil"/>
                    <w:tr2bl w:val="nil"/>
                  </w:tcBorders>
                  <w:noWrap w:val="0"/>
                  <w:tcMar>
                    <w:left w:w="0" w:type="dxa"/>
                    <w:right w:w="0" w:type="dxa"/>
                  </w:tcMar>
                  <w:vAlign w:val="center"/>
                </w:tcPr>
                <w:p w14:paraId="558099BF">
                  <w:pPr>
                    <w:spacing w:line="240" w:lineRule="auto"/>
                    <w:jc w:val="center"/>
                    <w:rPr>
                      <w:rFonts w:hint="default"/>
                      <w:color w:val="000000"/>
                    </w:rPr>
                  </w:pPr>
                  <w:r>
                    <w:rPr>
                      <w:rFonts w:hint="default"/>
                      <w:color w:val="000000"/>
                    </w:rPr>
                    <w:t>《</w:t>
                  </w:r>
                  <w:r>
                    <w:rPr>
                      <w:rFonts w:hint="eastAsia"/>
                      <w:color w:val="000000"/>
                      <w:lang w:val="en-US" w:eastAsia="zh-CN"/>
                    </w:rPr>
                    <w:t>恶臭污染物排放标准</w:t>
                  </w:r>
                  <w:r>
                    <w:rPr>
                      <w:rFonts w:hint="default"/>
                      <w:color w:val="000000"/>
                    </w:rPr>
                    <w:t>》</w:t>
                  </w:r>
                </w:p>
                <w:p w14:paraId="61247D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olor w:val="auto"/>
                      <w:sz w:val="21"/>
                      <w:szCs w:val="21"/>
                      <w:lang w:val="en-US" w:eastAsia="zh-CN"/>
                    </w:rPr>
                  </w:pPr>
                  <w:r>
                    <w:rPr>
                      <w:rFonts w:hint="default"/>
                      <w:color w:val="000000"/>
                    </w:rPr>
                    <w:t>GB</w:t>
                  </w:r>
                  <w:r>
                    <w:rPr>
                      <w:rFonts w:hint="eastAsia"/>
                      <w:color w:val="000000"/>
                      <w:lang w:val="en-US" w:eastAsia="zh-CN"/>
                    </w:rPr>
                    <w:t xml:space="preserve"> 14554-93表2</w:t>
                  </w:r>
                </w:p>
              </w:tc>
            </w:tr>
            <w:tr w14:paraId="5BD4B5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continue"/>
                  <w:tcBorders>
                    <w:tl2br w:val="nil"/>
                    <w:tr2bl w:val="nil"/>
                  </w:tcBorders>
                  <w:noWrap w:val="0"/>
                  <w:vAlign w:val="center"/>
                </w:tcPr>
                <w:p w14:paraId="65A7BCC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lang w:eastAsia="zh-CN"/>
                    </w:rPr>
                  </w:pPr>
                </w:p>
              </w:tc>
              <w:tc>
                <w:tcPr>
                  <w:tcW w:w="1350" w:type="dxa"/>
                  <w:tcBorders>
                    <w:tl2br w:val="nil"/>
                    <w:tr2bl w:val="nil"/>
                  </w:tcBorders>
                  <w:noWrap w:val="0"/>
                  <w:vAlign w:val="center"/>
                </w:tcPr>
                <w:p w14:paraId="29DB806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vertAlign w:val="baseline"/>
                      <w:lang w:val="en-US" w:eastAsia="zh-CN"/>
                    </w:rPr>
                  </w:pPr>
                  <w:r>
                    <w:rPr>
                      <w:rFonts w:hint="eastAsia" w:eastAsia="宋体"/>
                      <w:b w:val="0"/>
                      <w:bCs/>
                      <w:color w:val="000000"/>
                      <w:sz w:val="21"/>
                      <w:szCs w:val="21"/>
                      <w:vertAlign w:val="baseline"/>
                      <w:lang w:val="en-US" w:eastAsia="zh-CN"/>
                    </w:rPr>
                    <w:t>氨</w:t>
                  </w:r>
                </w:p>
              </w:tc>
              <w:tc>
                <w:tcPr>
                  <w:tcW w:w="1004" w:type="dxa"/>
                  <w:tcBorders>
                    <w:tl2br w:val="nil"/>
                    <w:tr2bl w:val="nil"/>
                  </w:tcBorders>
                  <w:noWrap w:val="0"/>
                  <w:vAlign w:val="center"/>
                </w:tcPr>
                <w:p w14:paraId="5287F5A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color w:val="000000"/>
                      <w:position w:val="6"/>
                      <w:sz w:val="21"/>
                      <w:szCs w:val="21"/>
                      <w:lang w:val="en-US" w:eastAsia="zh-CN"/>
                    </w:rPr>
                    <w:t>/</w:t>
                  </w:r>
                </w:p>
              </w:tc>
              <w:tc>
                <w:tcPr>
                  <w:tcW w:w="904" w:type="dxa"/>
                  <w:tcBorders>
                    <w:tl2br w:val="nil"/>
                    <w:tr2bl w:val="nil"/>
                  </w:tcBorders>
                  <w:noWrap w:val="0"/>
                  <w:vAlign w:val="center"/>
                </w:tcPr>
                <w:p w14:paraId="33C5AC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position w:val="6"/>
                      <w:sz w:val="21"/>
                      <w:szCs w:val="21"/>
                      <w:lang w:val="en-US" w:eastAsia="zh-CN"/>
                    </w:rPr>
                  </w:pPr>
                  <w:r>
                    <w:rPr>
                      <w:rFonts w:hint="eastAsia" w:ascii="Times New Roman" w:hAnsi="Times New Roman" w:eastAsia="宋体" w:cs="Times New Roman"/>
                      <w:color w:val="000000"/>
                      <w:position w:val="6"/>
                      <w:sz w:val="21"/>
                      <w:szCs w:val="21"/>
                      <w:lang w:val="en-US" w:eastAsia="zh-CN"/>
                    </w:rPr>
                    <w:t>4.9</w:t>
                  </w:r>
                </w:p>
              </w:tc>
              <w:tc>
                <w:tcPr>
                  <w:tcW w:w="860" w:type="dxa"/>
                  <w:vMerge w:val="continue"/>
                  <w:tcBorders>
                    <w:tl2br w:val="nil"/>
                    <w:tr2bl w:val="nil"/>
                  </w:tcBorders>
                  <w:noWrap w:val="0"/>
                  <w:tcMar>
                    <w:left w:w="0" w:type="dxa"/>
                    <w:right w:w="0" w:type="dxa"/>
                  </w:tcMar>
                  <w:vAlign w:val="center"/>
                </w:tcPr>
                <w:p w14:paraId="79E5608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lang w:val="en-US" w:eastAsia="zh-CN"/>
                    </w:rPr>
                  </w:pPr>
                </w:p>
              </w:tc>
              <w:tc>
                <w:tcPr>
                  <w:tcW w:w="3682" w:type="dxa"/>
                  <w:vMerge w:val="continue"/>
                  <w:tcBorders>
                    <w:tl2br w:val="nil"/>
                    <w:tr2bl w:val="nil"/>
                  </w:tcBorders>
                  <w:noWrap w:val="0"/>
                  <w:tcMar>
                    <w:left w:w="0" w:type="dxa"/>
                    <w:right w:w="0" w:type="dxa"/>
                  </w:tcMar>
                  <w:vAlign w:val="center"/>
                </w:tcPr>
                <w:p w14:paraId="011DF2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olor w:val="auto"/>
                      <w:sz w:val="21"/>
                      <w:szCs w:val="21"/>
                      <w:lang w:val="en-US" w:eastAsia="zh-CN"/>
                    </w:rPr>
                  </w:pPr>
                </w:p>
              </w:tc>
            </w:tr>
            <w:tr w14:paraId="2FE6F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continue"/>
                  <w:tcBorders>
                    <w:tl2br w:val="nil"/>
                    <w:tr2bl w:val="nil"/>
                  </w:tcBorders>
                  <w:noWrap w:val="0"/>
                  <w:vAlign w:val="center"/>
                </w:tcPr>
                <w:p w14:paraId="10AE39D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lang w:eastAsia="zh-CN"/>
                    </w:rPr>
                  </w:pPr>
                </w:p>
              </w:tc>
              <w:tc>
                <w:tcPr>
                  <w:tcW w:w="1350" w:type="dxa"/>
                  <w:tcBorders>
                    <w:tl2br w:val="nil"/>
                    <w:tr2bl w:val="nil"/>
                  </w:tcBorders>
                  <w:noWrap w:val="0"/>
                  <w:vAlign w:val="center"/>
                </w:tcPr>
                <w:p w14:paraId="71EA2DF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val="0"/>
                      <w:bCs/>
                      <w:color w:val="000000"/>
                      <w:sz w:val="21"/>
                      <w:szCs w:val="21"/>
                      <w:vertAlign w:val="baseline"/>
                      <w:lang w:val="en-US" w:eastAsia="zh-CN"/>
                    </w:rPr>
                  </w:pPr>
                  <w:r>
                    <w:rPr>
                      <w:rFonts w:hint="eastAsia"/>
                      <w:b w:val="0"/>
                      <w:bCs/>
                      <w:color w:val="000000"/>
                      <w:sz w:val="21"/>
                      <w:szCs w:val="21"/>
                      <w:vertAlign w:val="baseline"/>
                      <w:lang w:val="en-US" w:eastAsia="zh-CN"/>
                    </w:rPr>
                    <w:t>臭气浓度</w:t>
                  </w:r>
                </w:p>
                <w:p w14:paraId="6E91FF9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vertAlign w:val="baseline"/>
                      <w:lang w:val="en-US" w:eastAsia="zh-CN"/>
                    </w:rPr>
                  </w:pPr>
                  <w:r>
                    <w:rPr>
                      <w:rFonts w:hint="eastAsia"/>
                      <w:b w:val="0"/>
                      <w:bCs/>
                      <w:color w:val="000000"/>
                      <w:sz w:val="21"/>
                      <w:szCs w:val="21"/>
                      <w:vertAlign w:val="baseline"/>
                      <w:lang w:val="en-US" w:eastAsia="zh-CN"/>
                    </w:rPr>
                    <w:t>（无量纲）</w:t>
                  </w:r>
                </w:p>
              </w:tc>
              <w:tc>
                <w:tcPr>
                  <w:tcW w:w="1004" w:type="dxa"/>
                  <w:tcBorders>
                    <w:tl2br w:val="nil"/>
                    <w:tr2bl w:val="nil"/>
                  </w:tcBorders>
                  <w:noWrap w:val="0"/>
                  <w:vAlign w:val="center"/>
                </w:tcPr>
                <w:p w14:paraId="517C070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color w:val="000000"/>
                      <w:position w:val="6"/>
                      <w:sz w:val="21"/>
                      <w:szCs w:val="21"/>
                      <w:lang w:val="en-US" w:eastAsia="zh-CN"/>
                    </w:rPr>
                    <w:t>2000</w:t>
                  </w:r>
                </w:p>
              </w:tc>
              <w:tc>
                <w:tcPr>
                  <w:tcW w:w="904" w:type="dxa"/>
                  <w:tcBorders>
                    <w:tl2br w:val="nil"/>
                    <w:tr2bl w:val="nil"/>
                  </w:tcBorders>
                  <w:noWrap w:val="0"/>
                  <w:vAlign w:val="center"/>
                </w:tcPr>
                <w:p w14:paraId="23AB154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position w:val="6"/>
                      <w:sz w:val="21"/>
                      <w:szCs w:val="21"/>
                      <w:lang w:val="en-US" w:eastAsia="zh-CN"/>
                    </w:rPr>
                  </w:pPr>
                  <w:r>
                    <w:rPr>
                      <w:rFonts w:hint="eastAsia" w:ascii="Times New Roman" w:hAnsi="Times New Roman" w:eastAsia="宋体" w:cs="Times New Roman"/>
                      <w:color w:val="000000"/>
                      <w:position w:val="6"/>
                      <w:sz w:val="21"/>
                      <w:szCs w:val="21"/>
                      <w:lang w:val="en-US" w:eastAsia="zh-CN"/>
                    </w:rPr>
                    <w:t>/</w:t>
                  </w:r>
                </w:p>
              </w:tc>
              <w:tc>
                <w:tcPr>
                  <w:tcW w:w="860" w:type="dxa"/>
                  <w:vMerge w:val="continue"/>
                  <w:tcBorders>
                    <w:tl2br w:val="nil"/>
                    <w:tr2bl w:val="nil"/>
                  </w:tcBorders>
                  <w:noWrap w:val="0"/>
                  <w:tcMar>
                    <w:left w:w="0" w:type="dxa"/>
                    <w:right w:w="0" w:type="dxa"/>
                  </w:tcMar>
                  <w:vAlign w:val="center"/>
                </w:tcPr>
                <w:p w14:paraId="79BAC5D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lang w:val="en-US" w:eastAsia="zh-CN"/>
                    </w:rPr>
                  </w:pPr>
                </w:p>
              </w:tc>
              <w:tc>
                <w:tcPr>
                  <w:tcW w:w="3682" w:type="dxa"/>
                  <w:vMerge w:val="continue"/>
                  <w:tcBorders>
                    <w:tl2br w:val="nil"/>
                    <w:tr2bl w:val="nil"/>
                  </w:tcBorders>
                  <w:noWrap w:val="0"/>
                  <w:tcMar>
                    <w:left w:w="0" w:type="dxa"/>
                    <w:right w:w="0" w:type="dxa"/>
                  </w:tcMar>
                  <w:vAlign w:val="center"/>
                </w:tcPr>
                <w:p w14:paraId="6BEEB5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olor w:val="auto"/>
                      <w:sz w:val="21"/>
                      <w:szCs w:val="21"/>
                      <w:lang w:val="en-US" w:eastAsia="zh-CN"/>
                    </w:rPr>
                  </w:pPr>
                </w:p>
              </w:tc>
            </w:tr>
            <w:tr w14:paraId="54A88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continue"/>
                  <w:tcBorders>
                    <w:tl2br w:val="nil"/>
                    <w:tr2bl w:val="nil"/>
                  </w:tcBorders>
                  <w:noWrap w:val="0"/>
                  <w:vAlign w:val="center"/>
                </w:tcPr>
                <w:p w14:paraId="4FBA896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lang w:eastAsia="zh-CN"/>
                    </w:rPr>
                  </w:pPr>
                </w:p>
              </w:tc>
              <w:tc>
                <w:tcPr>
                  <w:tcW w:w="1350" w:type="dxa"/>
                  <w:tcBorders>
                    <w:tl2br w:val="nil"/>
                    <w:tr2bl w:val="nil"/>
                  </w:tcBorders>
                  <w:noWrap w:val="0"/>
                  <w:vAlign w:val="center"/>
                </w:tcPr>
                <w:p w14:paraId="7CC7CDE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b w:val="0"/>
                      <w:bCs/>
                      <w:color w:val="auto"/>
                      <w:sz w:val="21"/>
                      <w:szCs w:val="21"/>
                      <w:vertAlign w:val="baseline"/>
                      <w:lang w:val="en-US" w:eastAsia="zh-CN"/>
                    </w:rPr>
                  </w:pPr>
                  <w:r>
                    <w:rPr>
                      <w:rFonts w:hint="eastAsia"/>
                      <w:b w:val="0"/>
                      <w:bCs/>
                      <w:color w:val="000000"/>
                      <w:sz w:val="21"/>
                      <w:szCs w:val="21"/>
                      <w:vertAlign w:val="baseline"/>
                      <w:lang w:val="en-US" w:eastAsia="zh-CN"/>
                    </w:rPr>
                    <w:t>VOCs</w:t>
                  </w:r>
                </w:p>
              </w:tc>
              <w:tc>
                <w:tcPr>
                  <w:tcW w:w="1004" w:type="dxa"/>
                  <w:tcBorders>
                    <w:tl2br w:val="nil"/>
                    <w:tr2bl w:val="nil"/>
                  </w:tcBorders>
                  <w:noWrap w:val="0"/>
                  <w:vAlign w:val="center"/>
                </w:tcPr>
                <w:p w14:paraId="166CA7A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color w:val="000000"/>
                      <w:position w:val="6"/>
                      <w:sz w:val="21"/>
                      <w:szCs w:val="21"/>
                      <w:lang w:val="en-US" w:eastAsia="zh-CN"/>
                    </w:rPr>
                    <w:t>60</w:t>
                  </w:r>
                </w:p>
              </w:tc>
              <w:tc>
                <w:tcPr>
                  <w:tcW w:w="904" w:type="dxa"/>
                  <w:tcBorders>
                    <w:tl2br w:val="nil"/>
                    <w:tr2bl w:val="nil"/>
                  </w:tcBorders>
                  <w:noWrap w:val="0"/>
                  <w:vAlign w:val="center"/>
                </w:tcPr>
                <w:p w14:paraId="47F0C8E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lang w:val="en-US"/>
                    </w:rPr>
                  </w:pPr>
                  <w:r>
                    <w:rPr>
                      <w:rFonts w:hint="eastAsia" w:ascii="Times New Roman" w:hAnsi="Times New Roman" w:eastAsia="宋体" w:cs="Times New Roman"/>
                      <w:color w:val="000000"/>
                      <w:position w:val="6"/>
                      <w:sz w:val="21"/>
                      <w:szCs w:val="21"/>
                      <w:lang w:val="en-US" w:eastAsia="zh-CN"/>
                    </w:rPr>
                    <w:t>3.4</w:t>
                  </w:r>
                </w:p>
              </w:tc>
              <w:tc>
                <w:tcPr>
                  <w:tcW w:w="860" w:type="dxa"/>
                  <w:vMerge w:val="continue"/>
                  <w:tcBorders>
                    <w:tl2br w:val="nil"/>
                    <w:tr2bl w:val="nil"/>
                  </w:tcBorders>
                  <w:noWrap w:val="0"/>
                  <w:tcMar>
                    <w:left w:w="0" w:type="dxa"/>
                    <w:right w:w="0" w:type="dxa"/>
                  </w:tcMar>
                  <w:vAlign w:val="center"/>
                </w:tcPr>
                <w:p w14:paraId="1B7363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21"/>
                      <w:szCs w:val="21"/>
                      <w:lang w:val="en-US" w:eastAsia="zh-CN"/>
                    </w:rPr>
                  </w:pPr>
                </w:p>
              </w:tc>
              <w:tc>
                <w:tcPr>
                  <w:tcW w:w="3682" w:type="dxa"/>
                  <w:tcBorders>
                    <w:tl2br w:val="nil"/>
                    <w:tr2bl w:val="nil"/>
                  </w:tcBorders>
                  <w:noWrap w:val="0"/>
                  <w:tcMar>
                    <w:left w:w="0" w:type="dxa"/>
                    <w:right w:w="0" w:type="dxa"/>
                  </w:tcMar>
                  <w:vAlign w:val="center"/>
                </w:tcPr>
                <w:p w14:paraId="57C234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olor w:val="auto"/>
                      <w:sz w:val="21"/>
                      <w:szCs w:val="21"/>
                      <w:lang w:val="en-US" w:eastAsia="zh-CN"/>
                    </w:rPr>
                  </w:pPr>
                  <w:r>
                    <w:rPr>
                      <w:rFonts w:hint="eastAsia"/>
                      <w:color w:val="auto"/>
                      <w:sz w:val="21"/>
                      <w:szCs w:val="21"/>
                    </w:rPr>
                    <w:t>《</w:t>
                  </w:r>
                  <w:r>
                    <w:rPr>
                      <w:rFonts w:hint="eastAsia"/>
                      <w:color w:val="auto"/>
                      <w:sz w:val="21"/>
                      <w:szCs w:val="21"/>
                      <w:lang w:val="en-US" w:eastAsia="zh-CN"/>
                    </w:rPr>
                    <w:t>四川省固定污染源大气挥发性有机物排放标准</w:t>
                  </w:r>
                  <w:r>
                    <w:rPr>
                      <w:rFonts w:hint="eastAsia"/>
                      <w:color w:val="auto"/>
                      <w:sz w:val="21"/>
                      <w:szCs w:val="21"/>
                    </w:rPr>
                    <w:t>》</w:t>
                  </w:r>
                  <w:r>
                    <w:rPr>
                      <w:rFonts w:hint="eastAsia"/>
                      <w:color w:val="auto"/>
                      <w:sz w:val="21"/>
                      <w:szCs w:val="21"/>
                      <w:lang w:val="en-US" w:eastAsia="zh-CN"/>
                    </w:rPr>
                    <w:t>DB 51/2377- 2017 表3“涉及有机溶剂生产和使用的其它行业”</w:t>
                  </w:r>
                </w:p>
              </w:tc>
            </w:tr>
            <w:tr w14:paraId="5D4834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restart"/>
                  <w:tcBorders>
                    <w:tl2br w:val="nil"/>
                    <w:tr2bl w:val="nil"/>
                  </w:tcBorders>
                  <w:noWrap w:val="0"/>
                  <w:vAlign w:val="center"/>
                </w:tcPr>
                <w:p w14:paraId="55AC41EF">
                  <w:pPr>
                    <w:jc w:val="center"/>
                    <w:rPr>
                      <w:rFonts w:hint="eastAsia" w:eastAsia="宋体"/>
                      <w:color w:val="auto"/>
                      <w:sz w:val="21"/>
                      <w:szCs w:val="21"/>
                      <w:lang w:val="en-US" w:eastAsia="zh-CN"/>
                    </w:rPr>
                  </w:pPr>
                  <w:r>
                    <w:rPr>
                      <w:rFonts w:hint="default" w:ascii="Times New Roman" w:hAnsi="Times New Roman" w:eastAsia="宋体" w:cs="Times New Roman"/>
                      <w:color w:val="auto"/>
                      <w:sz w:val="21"/>
                      <w:szCs w:val="21"/>
                      <w:lang w:val="en-US" w:eastAsia="zh-CN"/>
                    </w:rPr>
                    <w:t>2#燃油锅炉排气筒出口</w:t>
                  </w:r>
                </w:p>
              </w:tc>
              <w:tc>
                <w:tcPr>
                  <w:tcW w:w="1350" w:type="dxa"/>
                  <w:tcBorders>
                    <w:tl2br w:val="nil"/>
                    <w:tr2bl w:val="nil"/>
                  </w:tcBorders>
                  <w:noWrap w:val="0"/>
                  <w:vAlign w:val="center"/>
                </w:tcPr>
                <w:p w14:paraId="2FE918BD">
                  <w:pPr>
                    <w:jc w:val="center"/>
                    <w:rPr>
                      <w:rFonts w:hint="default" w:ascii="Times New Roman" w:hAnsi="Times New Roman" w:eastAsia="宋体" w:cs="Times New Roman"/>
                      <w:color w:val="auto"/>
                      <w:position w:val="6"/>
                      <w:sz w:val="21"/>
                      <w:szCs w:val="21"/>
                      <w:lang w:val="en-US" w:eastAsia="zh-CN"/>
                    </w:rPr>
                  </w:pPr>
                  <w:r>
                    <w:rPr>
                      <w:rFonts w:hint="eastAsia" w:eastAsia="宋体"/>
                      <w:color w:val="auto"/>
                      <w:sz w:val="21"/>
                      <w:szCs w:val="21"/>
                      <w:lang w:eastAsia="zh-CN"/>
                    </w:rPr>
                    <w:t>颗粒物</w:t>
                  </w:r>
                </w:p>
              </w:tc>
              <w:tc>
                <w:tcPr>
                  <w:tcW w:w="1004" w:type="dxa"/>
                  <w:tcBorders>
                    <w:tl2br w:val="nil"/>
                    <w:tr2bl w:val="nil"/>
                  </w:tcBorders>
                  <w:noWrap w:val="0"/>
                  <w:vAlign w:val="center"/>
                </w:tcPr>
                <w:p w14:paraId="3728603C">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eastAsia="宋体"/>
                      <w:b w:val="0"/>
                      <w:bCs w:val="0"/>
                      <w:color w:val="auto"/>
                      <w:spacing w:val="-4"/>
                      <w:sz w:val="21"/>
                      <w:szCs w:val="21"/>
                      <w:highlight w:val="none"/>
                      <w:lang w:val="en-US" w:eastAsia="zh-CN"/>
                    </w:rPr>
                  </w:pPr>
                  <w:r>
                    <w:rPr>
                      <w:rFonts w:hint="eastAsia" w:ascii="Times New Roman" w:hAnsi="Times New Roman" w:eastAsia="宋体" w:cs="Times New Roman"/>
                      <w:position w:val="6"/>
                      <w:sz w:val="21"/>
                      <w:szCs w:val="21"/>
                      <w:lang w:val="en-US" w:eastAsia="zh-CN"/>
                    </w:rPr>
                    <w:t>30</w:t>
                  </w:r>
                </w:p>
              </w:tc>
              <w:tc>
                <w:tcPr>
                  <w:tcW w:w="904" w:type="dxa"/>
                  <w:tcBorders>
                    <w:tl2br w:val="nil"/>
                    <w:tr2bl w:val="nil"/>
                  </w:tcBorders>
                  <w:noWrap w:val="0"/>
                  <w:vAlign w:val="center"/>
                </w:tcPr>
                <w:p w14:paraId="2D66A58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860" w:type="dxa"/>
                  <w:vMerge w:val="restart"/>
                  <w:tcBorders>
                    <w:tl2br w:val="nil"/>
                    <w:tr2bl w:val="nil"/>
                  </w:tcBorders>
                  <w:noWrap w:val="0"/>
                  <w:tcMar>
                    <w:left w:w="0" w:type="dxa"/>
                    <w:right w:w="0" w:type="dxa"/>
                  </w:tcMar>
                  <w:vAlign w:val="center"/>
                </w:tcPr>
                <w:p w14:paraId="589959CC">
                  <w:pPr>
                    <w:jc w:val="center"/>
                    <w:rPr>
                      <w:rFonts w:hint="default"/>
                      <w:color w:val="auto"/>
                      <w:sz w:val="21"/>
                      <w:szCs w:val="21"/>
                      <w:lang w:val="en-US" w:eastAsia="zh-CN"/>
                    </w:rPr>
                  </w:pPr>
                  <w:r>
                    <w:rPr>
                      <w:rFonts w:hint="eastAsia" w:ascii="Times New Roman" w:hAnsi="Times New Roman" w:eastAsia="宋体" w:cs="Times New Roman"/>
                      <w:bCs/>
                      <w:sz w:val="21"/>
                      <w:szCs w:val="21"/>
                      <w:lang w:val="en-US" w:eastAsia="zh-CN"/>
                    </w:rPr>
                    <w:t>8m</w:t>
                  </w:r>
                </w:p>
              </w:tc>
              <w:tc>
                <w:tcPr>
                  <w:tcW w:w="3682" w:type="dxa"/>
                  <w:vMerge w:val="restart"/>
                  <w:tcBorders>
                    <w:tl2br w:val="nil"/>
                    <w:tr2bl w:val="nil"/>
                  </w:tcBorders>
                  <w:noWrap w:val="0"/>
                  <w:tcMar>
                    <w:left w:w="0" w:type="dxa"/>
                    <w:right w:w="0" w:type="dxa"/>
                  </w:tcMar>
                  <w:vAlign w:val="center"/>
                </w:tcPr>
                <w:p w14:paraId="45E89DE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color w:val="auto"/>
                      <w:sz w:val="21"/>
                      <w:szCs w:val="21"/>
                    </w:rPr>
                    <w:t>《</w:t>
                  </w:r>
                  <w:r>
                    <w:rPr>
                      <w:rFonts w:hint="eastAsia"/>
                      <w:color w:val="auto"/>
                      <w:sz w:val="21"/>
                      <w:szCs w:val="21"/>
                      <w:lang w:val="en-US" w:eastAsia="zh-CN"/>
                    </w:rPr>
                    <w:t>锅炉</w:t>
                  </w:r>
                  <w:r>
                    <w:rPr>
                      <w:rFonts w:hint="eastAsia"/>
                      <w:color w:val="auto"/>
                      <w:sz w:val="21"/>
                      <w:szCs w:val="21"/>
                      <w:lang w:eastAsia="zh-CN"/>
                    </w:rPr>
                    <w:t>大气污染物排放标准</w:t>
                  </w:r>
                  <w:r>
                    <w:rPr>
                      <w:color w:val="auto"/>
                      <w:sz w:val="21"/>
                      <w:szCs w:val="21"/>
                    </w:rPr>
                    <w:t>》</w:t>
                  </w:r>
                </w:p>
                <w:p w14:paraId="27358CCD">
                  <w:pPr>
                    <w:jc w:val="center"/>
                    <w:rPr>
                      <w:rFonts w:hint="eastAsia" w:ascii="Times New Roman" w:hAnsi="Times New Roman"/>
                      <w:color w:val="auto"/>
                      <w:sz w:val="21"/>
                      <w:szCs w:val="21"/>
                      <w:lang w:val="en-US" w:eastAsia="zh-CN"/>
                    </w:rPr>
                  </w:pPr>
                  <w:r>
                    <w:rPr>
                      <w:color w:val="auto"/>
                      <w:sz w:val="21"/>
                      <w:szCs w:val="21"/>
                    </w:rPr>
                    <w:t xml:space="preserve">GB </w:t>
                  </w:r>
                  <w:r>
                    <w:rPr>
                      <w:rFonts w:hint="eastAsia" w:ascii="Times New Roman" w:hAnsi="Times New Roman"/>
                      <w:color w:val="auto"/>
                      <w:sz w:val="21"/>
                      <w:szCs w:val="21"/>
                      <w:lang w:val="en-US" w:eastAsia="zh-CN"/>
                    </w:rPr>
                    <w:t>13271-2014</w:t>
                  </w:r>
                  <w:r>
                    <w:rPr>
                      <w:color w:val="auto"/>
                      <w:sz w:val="21"/>
                      <w:szCs w:val="21"/>
                    </w:rPr>
                    <w:t>表</w:t>
                  </w:r>
                  <w:r>
                    <w:rPr>
                      <w:rFonts w:hint="eastAsia" w:ascii="Times New Roman" w:hAnsi="Times New Roman"/>
                      <w:color w:val="auto"/>
                      <w:sz w:val="21"/>
                      <w:szCs w:val="21"/>
                      <w:lang w:val="en-US" w:eastAsia="zh-CN"/>
                    </w:rPr>
                    <w:t>2 燃油锅炉</w:t>
                  </w:r>
                </w:p>
              </w:tc>
            </w:tr>
            <w:tr w14:paraId="1F8E9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continue"/>
                  <w:tcBorders>
                    <w:tl2br w:val="nil"/>
                    <w:tr2bl w:val="nil"/>
                  </w:tcBorders>
                  <w:noWrap w:val="0"/>
                  <w:vAlign w:val="center"/>
                </w:tcPr>
                <w:p w14:paraId="30ACC020">
                  <w:pPr>
                    <w:jc w:val="center"/>
                    <w:rPr>
                      <w:rFonts w:hint="eastAsia" w:eastAsia="宋体"/>
                      <w:color w:val="auto"/>
                      <w:sz w:val="21"/>
                      <w:szCs w:val="21"/>
                      <w:lang w:eastAsia="zh-CN"/>
                    </w:rPr>
                  </w:pPr>
                </w:p>
              </w:tc>
              <w:tc>
                <w:tcPr>
                  <w:tcW w:w="1350" w:type="dxa"/>
                  <w:tcBorders>
                    <w:tl2br w:val="nil"/>
                    <w:tr2bl w:val="nil"/>
                  </w:tcBorders>
                  <w:noWrap w:val="0"/>
                  <w:vAlign w:val="center"/>
                </w:tcPr>
                <w:p w14:paraId="1E4A5088">
                  <w:pPr>
                    <w:jc w:val="center"/>
                    <w:rPr>
                      <w:rFonts w:hint="default" w:ascii="Times New Roman" w:hAnsi="Times New Roman" w:eastAsia="宋体"/>
                      <w:b w:val="0"/>
                      <w:bCs/>
                      <w:color w:val="auto"/>
                      <w:sz w:val="21"/>
                      <w:szCs w:val="21"/>
                      <w:vertAlign w:val="baseline"/>
                      <w:lang w:val="en-US" w:eastAsia="zh-CN"/>
                    </w:rPr>
                  </w:pPr>
                  <w:r>
                    <w:rPr>
                      <w:color w:val="auto"/>
                      <w:sz w:val="21"/>
                      <w:szCs w:val="21"/>
                    </w:rPr>
                    <w:t>二氧化硫</w:t>
                  </w:r>
                </w:p>
              </w:tc>
              <w:tc>
                <w:tcPr>
                  <w:tcW w:w="1004" w:type="dxa"/>
                  <w:tcBorders>
                    <w:tl2br w:val="nil"/>
                    <w:tr2bl w:val="nil"/>
                  </w:tcBorders>
                  <w:noWrap w:val="0"/>
                  <w:vAlign w:val="center"/>
                </w:tcPr>
                <w:p w14:paraId="0604D98F">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position w:val="6"/>
                      <w:sz w:val="21"/>
                      <w:szCs w:val="21"/>
                      <w:lang w:val="en-US" w:eastAsia="zh-CN"/>
                    </w:rPr>
                    <w:t>200</w:t>
                  </w:r>
                </w:p>
              </w:tc>
              <w:tc>
                <w:tcPr>
                  <w:tcW w:w="904" w:type="dxa"/>
                  <w:tcBorders>
                    <w:tl2br w:val="nil"/>
                    <w:tr2bl w:val="nil"/>
                  </w:tcBorders>
                  <w:noWrap w:val="0"/>
                  <w:vAlign w:val="center"/>
                </w:tcPr>
                <w:p w14:paraId="623414F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highlight w:val="none"/>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860" w:type="dxa"/>
                  <w:vMerge w:val="continue"/>
                  <w:tcBorders>
                    <w:tl2br w:val="nil"/>
                    <w:tr2bl w:val="nil"/>
                  </w:tcBorders>
                  <w:noWrap w:val="0"/>
                  <w:tcMar>
                    <w:left w:w="0" w:type="dxa"/>
                    <w:right w:w="0" w:type="dxa"/>
                  </w:tcMar>
                  <w:vAlign w:val="center"/>
                </w:tcPr>
                <w:p w14:paraId="38C2489C">
                  <w:pPr>
                    <w:jc w:val="center"/>
                    <w:rPr>
                      <w:rFonts w:hint="default"/>
                      <w:color w:val="auto"/>
                      <w:sz w:val="21"/>
                      <w:szCs w:val="21"/>
                      <w:lang w:val="en-US" w:eastAsia="zh-CN"/>
                    </w:rPr>
                  </w:pPr>
                </w:p>
              </w:tc>
              <w:tc>
                <w:tcPr>
                  <w:tcW w:w="3682" w:type="dxa"/>
                  <w:vMerge w:val="continue"/>
                  <w:tcBorders>
                    <w:tl2br w:val="nil"/>
                    <w:tr2bl w:val="nil"/>
                  </w:tcBorders>
                  <w:noWrap w:val="0"/>
                  <w:tcMar>
                    <w:left w:w="0" w:type="dxa"/>
                    <w:right w:w="0" w:type="dxa"/>
                  </w:tcMar>
                  <w:vAlign w:val="center"/>
                </w:tcPr>
                <w:p w14:paraId="4DDEC8B9">
                  <w:pPr>
                    <w:jc w:val="center"/>
                    <w:rPr>
                      <w:rFonts w:hint="eastAsia" w:ascii="Times New Roman" w:hAnsi="Times New Roman"/>
                      <w:color w:val="auto"/>
                      <w:sz w:val="21"/>
                      <w:szCs w:val="21"/>
                      <w:lang w:val="en-US" w:eastAsia="zh-CN"/>
                    </w:rPr>
                  </w:pPr>
                </w:p>
              </w:tc>
            </w:tr>
            <w:tr w14:paraId="153B55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continue"/>
                  <w:tcBorders>
                    <w:tl2br w:val="nil"/>
                    <w:tr2bl w:val="nil"/>
                  </w:tcBorders>
                  <w:noWrap w:val="0"/>
                  <w:vAlign w:val="center"/>
                </w:tcPr>
                <w:p w14:paraId="2B5CA603">
                  <w:pPr>
                    <w:jc w:val="center"/>
                    <w:rPr>
                      <w:rFonts w:hint="default" w:ascii="Times New Roman" w:hAnsi="Times New Roman" w:eastAsia="宋体" w:cs="Times New Roman"/>
                      <w:color w:val="auto"/>
                      <w:sz w:val="21"/>
                      <w:szCs w:val="21"/>
                      <w:lang w:eastAsia="zh-CN"/>
                    </w:rPr>
                  </w:pPr>
                </w:p>
              </w:tc>
              <w:tc>
                <w:tcPr>
                  <w:tcW w:w="1350" w:type="dxa"/>
                  <w:tcBorders>
                    <w:tl2br w:val="nil"/>
                    <w:tr2bl w:val="nil"/>
                  </w:tcBorders>
                  <w:noWrap w:val="0"/>
                  <w:vAlign w:val="center"/>
                </w:tcPr>
                <w:p w14:paraId="6BFBBD68">
                  <w:pPr>
                    <w:jc w:val="center"/>
                    <w:rPr>
                      <w:rFonts w:hint="default" w:ascii="Times New Roman" w:hAnsi="Times New Roman" w:eastAsia="宋体" w:cs="Times New Roman"/>
                      <w:color w:val="auto"/>
                      <w:position w:val="6"/>
                      <w:sz w:val="21"/>
                      <w:szCs w:val="21"/>
                      <w:lang w:val="en-US" w:eastAsia="zh-CN"/>
                    </w:rPr>
                  </w:pPr>
                  <w:r>
                    <w:rPr>
                      <w:rFonts w:hint="eastAsia" w:eastAsia="宋体"/>
                      <w:color w:val="auto"/>
                      <w:sz w:val="21"/>
                      <w:szCs w:val="21"/>
                      <w:lang w:eastAsia="zh-CN"/>
                    </w:rPr>
                    <w:t>氮氧化物</w:t>
                  </w:r>
                </w:p>
              </w:tc>
              <w:tc>
                <w:tcPr>
                  <w:tcW w:w="1004" w:type="dxa"/>
                  <w:tcBorders>
                    <w:tl2br w:val="nil"/>
                    <w:tr2bl w:val="nil"/>
                  </w:tcBorders>
                  <w:noWrap w:val="0"/>
                  <w:vAlign w:val="center"/>
                </w:tcPr>
                <w:p w14:paraId="38505DD5">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宋体" w:cs="Times New Roman"/>
                      <w:color w:val="auto"/>
                      <w:position w:val="6"/>
                      <w:sz w:val="21"/>
                      <w:szCs w:val="21"/>
                      <w:lang w:val="en-US" w:eastAsia="zh-CN"/>
                    </w:rPr>
                  </w:pPr>
                  <w:r>
                    <w:rPr>
                      <w:rFonts w:hint="eastAsia" w:ascii="Times New Roman" w:hAnsi="Times New Roman" w:eastAsia="宋体" w:cs="Times New Roman"/>
                      <w:position w:val="6"/>
                      <w:sz w:val="21"/>
                      <w:szCs w:val="21"/>
                      <w:lang w:val="en-US" w:eastAsia="zh-CN"/>
                    </w:rPr>
                    <w:t>250</w:t>
                  </w:r>
                </w:p>
              </w:tc>
              <w:tc>
                <w:tcPr>
                  <w:tcW w:w="904" w:type="dxa"/>
                  <w:tcBorders>
                    <w:tl2br w:val="nil"/>
                    <w:tr2bl w:val="nil"/>
                  </w:tcBorders>
                  <w:noWrap w:val="0"/>
                  <w:vAlign w:val="center"/>
                </w:tcPr>
                <w:p w14:paraId="162CA81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860" w:type="dxa"/>
                  <w:vMerge w:val="continue"/>
                  <w:tcBorders>
                    <w:tl2br w:val="nil"/>
                    <w:tr2bl w:val="nil"/>
                  </w:tcBorders>
                  <w:noWrap w:val="0"/>
                  <w:tcMar>
                    <w:left w:w="0" w:type="dxa"/>
                    <w:right w:w="0" w:type="dxa"/>
                  </w:tcMar>
                  <w:vAlign w:val="center"/>
                </w:tcPr>
                <w:p w14:paraId="7A867087">
                  <w:pPr>
                    <w:jc w:val="center"/>
                    <w:rPr>
                      <w:rFonts w:hint="default" w:ascii="Times New Roman" w:hAnsi="Times New Roman" w:eastAsia="宋体" w:cs="Times New Roman"/>
                      <w:color w:val="auto"/>
                      <w:sz w:val="21"/>
                      <w:szCs w:val="21"/>
                      <w:lang w:val="en-US" w:eastAsia="zh-CN"/>
                    </w:rPr>
                  </w:pPr>
                </w:p>
              </w:tc>
              <w:tc>
                <w:tcPr>
                  <w:tcW w:w="3682" w:type="dxa"/>
                  <w:vMerge w:val="continue"/>
                  <w:tcBorders>
                    <w:tl2br w:val="nil"/>
                    <w:tr2bl w:val="nil"/>
                  </w:tcBorders>
                  <w:noWrap w:val="0"/>
                  <w:tcMar>
                    <w:left w:w="0" w:type="dxa"/>
                    <w:right w:w="0" w:type="dxa"/>
                  </w:tcMar>
                  <w:vAlign w:val="center"/>
                </w:tcPr>
                <w:p w14:paraId="2B7A6C4D">
                  <w:pPr>
                    <w:jc w:val="center"/>
                    <w:rPr>
                      <w:rFonts w:hint="eastAsia"/>
                      <w:color w:val="auto"/>
                      <w:sz w:val="21"/>
                      <w:szCs w:val="21"/>
                      <w:lang w:val="en-US" w:eastAsia="zh-CN"/>
                    </w:rPr>
                  </w:pPr>
                </w:p>
              </w:tc>
            </w:tr>
            <w:tr w14:paraId="1E87F1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71" w:type="dxa"/>
                  <w:vMerge w:val="continue"/>
                  <w:tcBorders>
                    <w:tl2br w:val="nil"/>
                    <w:tr2bl w:val="nil"/>
                  </w:tcBorders>
                  <w:noWrap w:val="0"/>
                  <w:vAlign w:val="center"/>
                </w:tcPr>
                <w:p w14:paraId="4204CD3F">
                  <w:pPr>
                    <w:jc w:val="center"/>
                    <w:rPr>
                      <w:rFonts w:hint="eastAsia" w:eastAsia="宋体"/>
                      <w:color w:val="auto"/>
                      <w:sz w:val="21"/>
                      <w:szCs w:val="21"/>
                      <w:lang w:val="en-US" w:eastAsia="zh-CN"/>
                    </w:rPr>
                  </w:pPr>
                </w:p>
              </w:tc>
              <w:tc>
                <w:tcPr>
                  <w:tcW w:w="1350" w:type="dxa"/>
                  <w:tcBorders>
                    <w:tl2br w:val="nil"/>
                    <w:tr2bl w:val="nil"/>
                  </w:tcBorders>
                  <w:noWrap w:val="0"/>
                  <w:vAlign w:val="center"/>
                </w:tcPr>
                <w:p w14:paraId="61F7D5AB">
                  <w:pPr>
                    <w:jc w:val="center"/>
                    <w:rPr>
                      <w:rFonts w:hint="eastAsia"/>
                      <w:color w:val="auto"/>
                      <w:lang w:val="en-US" w:eastAsia="zh-CN"/>
                    </w:rPr>
                  </w:pPr>
                  <w:r>
                    <w:rPr>
                      <w:rFonts w:hint="eastAsia" w:eastAsia="宋体"/>
                      <w:color w:val="auto"/>
                      <w:sz w:val="21"/>
                      <w:szCs w:val="21"/>
                      <w:lang w:val="en-US" w:eastAsia="zh-CN"/>
                    </w:rPr>
                    <w:t>烟气黑度</w:t>
                  </w:r>
                </w:p>
              </w:tc>
              <w:tc>
                <w:tcPr>
                  <w:tcW w:w="1004" w:type="dxa"/>
                  <w:tcBorders>
                    <w:tl2br w:val="nil"/>
                    <w:tr2bl w:val="nil"/>
                  </w:tcBorders>
                  <w:noWrap w:val="0"/>
                  <w:vAlign w:val="center"/>
                </w:tcPr>
                <w:p w14:paraId="090356AF">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vertAlign w:val="baseline"/>
                      <w:lang w:val="en-US" w:eastAsia="zh-CN"/>
                    </w:rPr>
                  </w:pPr>
                  <w:r>
                    <w:rPr>
                      <w:rFonts w:hint="eastAsia" w:ascii="Times New Roman" w:hAnsi="Times New Roman" w:eastAsia="宋体" w:cs="Times New Roman"/>
                      <w:position w:val="6"/>
                      <w:sz w:val="21"/>
                      <w:szCs w:val="21"/>
                      <w:lang w:val="en-US" w:eastAsia="zh-CN"/>
                    </w:rPr>
                    <w:t>≤1</w:t>
                  </w:r>
                </w:p>
              </w:tc>
              <w:tc>
                <w:tcPr>
                  <w:tcW w:w="904" w:type="dxa"/>
                  <w:tcBorders>
                    <w:tl2br w:val="nil"/>
                    <w:tr2bl w:val="nil"/>
                  </w:tcBorders>
                  <w:noWrap w:val="0"/>
                  <w:vAlign w:val="center"/>
                </w:tcPr>
                <w:p w14:paraId="2AF23C5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b w:val="0"/>
                      <w:bCs/>
                      <w:color w:val="auto"/>
                      <w:sz w:val="21"/>
                      <w:szCs w:val="21"/>
                      <w:vertAlign w:val="baseline"/>
                      <w:lang w:val="en-US" w:eastAsia="zh-CN"/>
                    </w:rPr>
                  </w:pPr>
                  <w:r>
                    <w:rPr>
                      <w:rFonts w:hint="eastAsia" w:ascii="Times New Roman" w:hAnsi="Times New Roman" w:eastAsia="宋体" w:cs="Times New Roman"/>
                      <w:color w:val="auto"/>
                      <w:position w:val="6"/>
                      <w:sz w:val="21"/>
                      <w:szCs w:val="21"/>
                      <w:lang w:val="en-US" w:eastAsia="zh-CN"/>
                    </w:rPr>
                    <w:t>/</w:t>
                  </w:r>
                </w:p>
              </w:tc>
              <w:tc>
                <w:tcPr>
                  <w:tcW w:w="860" w:type="dxa"/>
                  <w:vMerge w:val="continue"/>
                  <w:tcBorders>
                    <w:tl2br w:val="nil"/>
                    <w:tr2bl w:val="nil"/>
                  </w:tcBorders>
                  <w:noWrap w:val="0"/>
                  <w:tcMar>
                    <w:left w:w="0" w:type="dxa"/>
                    <w:right w:w="0" w:type="dxa"/>
                  </w:tcMar>
                  <w:vAlign w:val="center"/>
                </w:tcPr>
                <w:p w14:paraId="788B29BF">
                  <w:pPr>
                    <w:jc w:val="center"/>
                    <w:rPr>
                      <w:rFonts w:hint="eastAsia" w:ascii="Times New Roman" w:hAnsi="Times New Roman" w:cs="Times New Roman"/>
                      <w:color w:val="auto"/>
                      <w:sz w:val="21"/>
                      <w:szCs w:val="21"/>
                      <w:lang w:val="en-US" w:eastAsia="zh-CN"/>
                    </w:rPr>
                  </w:pPr>
                </w:p>
              </w:tc>
              <w:tc>
                <w:tcPr>
                  <w:tcW w:w="3682" w:type="dxa"/>
                  <w:vMerge w:val="continue"/>
                  <w:tcBorders>
                    <w:tl2br w:val="nil"/>
                    <w:tr2bl w:val="nil"/>
                  </w:tcBorders>
                  <w:noWrap w:val="0"/>
                  <w:tcMar>
                    <w:left w:w="0" w:type="dxa"/>
                    <w:right w:w="0" w:type="dxa"/>
                  </w:tcMar>
                  <w:vAlign w:val="center"/>
                </w:tcPr>
                <w:p w14:paraId="3A724289">
                  <w:pPr>
                    <w:jc w:val="center"/>
                    <w:rPr>
                      <w:rFonts w:hint="eastAsia"/>
                      <w:color w:val="auto"/>
                      <w:sz w:val="21"/>
                      <w:szCs w:val="21"/>
                    </w:rPr>
                  </w:pPr>
                </w:p>
              </w:tc>
            </w:tr>
            <w:tr w14:paraId="3AABFD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071" w:type="dxa"/>
                  <w:gridSpan w:val="6"/>
                  <w:tcBorders>
                    <w:tl2br w:val="nil"/>
                    <w:tr2bl w:val="nil"/>
                  </w:tcBorders>
                  <w:noWrap w:val="0"/>
                  <w:vAlign w:val="center"/>
                </w:tcPr>
                <w:p w14:paraId="0279239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color w:val="auto"/>
                      <w:sz w:val="21"/>
                      <w:szCs w:val="21"/>
                    </w:rPr>
                  </w:pPr>
                  <w:r>
                    <w:rPr>
                      <w:rFonts w:hint="eastAsia" w:ascii="Times New Roman" w:hAnsi="Times New Roman" w:eastAsia="宋体" w:cs="Times New Roman"/>
                      <w:color w:val="auto"/>
                      <w:kern w:val="0"/>
                      <w:sz w:val="21"/>
                      <w:szCs w:val="21"/>
                      <w:lang w:val="en-US" w:eastAsia="zh-CN" w:bidi="ar"/>
                    </w:rPr>
                    <w:t>备注：</w:t>
                  </w:r>
                  <w:r>
                    <w:rPr>
                      <w:rFonts w:hint="default" w:ascii="Times New Roman" w:hAnsi="Times New Roman" w:eastAsia="宋体" w:cs="Times New Roman"/>
                      <w:color w:val="auto"/>
                      <w:kern w:val="0"/>
                      <w:sz w:val="21"/>
                      <w:szCs w:val="21"/>
                      <w:lang w:bidi="ar"/>
                    </w:rPr>
                    <w:t>《四川省固定污染源大气挥发性有机物排放标准》（DB51/2377-2017）</w:t>
                  </w:r>
                  <w:r>
                    <w:rPr>
                      <w:rFonts w:hint="eastAsia" w:ascii="Times New Roman" w:hAnsi="Times New Roman" w:eastAsia="宋体" w:cs="Times New Roman"/>
                      <w:color w:val="auto"/>
                      <w:kern w:val="0"/>
                      <w:sz w:val="21"/>
                      <w:szCs w:val="21"/>
                      <w:lang w:val="en-US" w:eastAsia="zh-CN" w:bidi="ar"/>
                    </w:rPr>
                    <w:t xml:space="preserve">3.2中，挥发性有机物根据行业特征和环境管理需求，按基准物质标定，检测器对混合进样中 </w:t>
                  </w:r>
                  <w:r>
                    <w:rPr>
                      <w:rFonts w:hint="default" w:ascii="Times New Roman" w:hAnsi="Times New Roman" w:eastAsia="宋体" w:cs="Times New Roman"/>
                      <w:color w:val="auto"/>
                      <w:kern w:val="0"/>
                      <w:sz w:val="21"/>
                      <w:szCs w:val="21"/>
                      <w:lang w:val="en-US" w:eastAsia="zh-CN" w:bidi="ar"/>
                    </w:rPr>
                    <w:t xml:space="preserve">VOCs </w:t>
                  </w:r>
                  <w:r>
                    <w:rPr>
                      <w:rFonts w:hint="eastAsia" w:ascii="Times New Roman" w:hAnsi="Times New Roman" w:eastAsia="宋体" w:cs="Times New Roman"/>
                      <w:color w:val="auto"/>
                      <w:kern w:val="0"/>
                      <w:sz w:val="21"/>
                      <w:szCs w:val="21"/>
                      <w:lang w:val="en-US" w:eastAsia="zh-CN" w:bidi="ar"/>
                    </w:rPr>
                    <w:t xml:space="preserve">综合响应的方法测量非甲烷有机化合物（以 </w:t>
                  </w:r>
                  <w:r>
                    <w:rPr>
                      <w:rFonts w:hint="default" w:ascii="Times New Roman" w:hAnsi="Times New Roman" w:eastAsia="宋体" w:cs="Times New Roman"/>
                      <w:color w:val="auto"/>
                      <w:kern w:val="0"/>
                      <w:sz w:val="21"/>
                      <w:szCs w:val="21"/>
                      <w:lang w:val="en-US" w:eastAsia="zh-CN" w:bidi="ar"/>
                    </w:rPr>
                    <w:t xml:space="preserve">NMOC </w:t>
                  </w:r>
                  <w:r>
                    <w:rPr>
                      <w:rFonts w:hint="eastAsia" w:ascii="Times New Roman" w:hAnsi="Times New Roman" w:eastAsia="宋体" w:cs="Times New Roman"/>
                      <w:color w:val="auto"/>
                      <w:kern w:val="0"/>
                      <w:sz w:val="21"/>
                      <w:szCs w:val="21"/>
                      <w:lang w:val="en-US" w:eastAsia="zh-CN" w:bidi="ar"/>
                    </w:rPr>
                    <w:t xml:space="preserve">表示，以碳计），即采用规定的监测方法，使氢火焰离子化检测器有明显响应的除甲烷以外的碳氢化合物（其中主要是 </w:t>
                  </w:r>
                  <w:r>
                    <w:rPr>
                      <w:rFonts w:hint="default" w:ascii="Times New Roman" w:hAnsi="Times New Roman" w:eastAsia="宋体" w:cs="Times New Roman"/>
                      <w:color w:val="auto"/>
                      <w:kern w:val="0"/>
                      <w:sz w:val="21"/>
                      <w:szCs w:val="21"/>
                      <w:lang w:val="en-US" w:eastAsia="zh-CN" w:bidi="ar"/>
                    </w:rPr>
                    <w:t>C</w:t>
                  </w:r>
                  <w:r>
                    <w:rPr>
                      <w:rFonts w:hint="default" w:ascii="Times New Roman" w:hAnsi="Times New Roman" w:eastAsia="宋体" w:cs="Times New Roman"/>
                      <w:color w:val="auto"/>
                      <w:kern w:val="0"/>
                      <w:sz w:val="21"/>
                      <w:szCs w:val="21"/>
                      <w:vertAlign w:val="subscript"/>
                      <w:lang w:val="en-US" w:eastAsia="zh-CN" w:bidi="ar"/>
                    </w:rPr>
                    <w:t>2</w:t>
                  </w:r>
                  <w:r>
                    <w:rPr>
                      <w:rFonts w:hint="default" w:ascii="Times New Roman" w:hAnsi="Times New Roman" w:eastAsia="宋体" w:cs="Times New Roman"/>
                      <w:color w:val="auto"/>
                      <w:kern w:val="0"/>
                      <w:sz w:val="21"/>
                      <w:szCs w:val="21"/>
                      <w:lang w:val="en-US" w:eastAsia="zh-CN" w:bidi="ar"/>
                    </w:rPr>
                    <w:t>-C</w:t>
                  </w:r>
                  <w:r>
                    <w:rPr>
                      <w:rFonts w:hint="default" w:ascii="Times New Roman" w:hAnsi="Times New Roman" w:eastAsia="宋体" w:cs="Times New Roman"/>
                      <w:color w:val="auto"/>
                      <w:kern w:val="0"/>
                      <w:sz w:val="21"/>
                      <w:szCs w:val="21"/>
                      <w:vertAlign w:val="subscript"/>
                      <w:lang w:val="en-US" w:eastAsia="zh-CN" w:bidi="ar"/>
                    </w:rPr>
                    <w:t>8</w:t>
                  </w:r>
                  <w:r>
                    <w:rPr>
                      <w:rFonts w:hint="eastAsia" w:ascii="Times New Roman" w:hAnsi="Times New Roman" w:eastAsia="宋体" w:cs="Times New Roman"/>
                      <w:color w:val="auto"/>
                      <w:kern w:val="0"/>
                      <w:sz w:val="21"/>
                      <w:szCs w:val="21"/>
                      <w:lang w:val="en-US" w:eastAsia="zh-CN" w:bidi="ar"/>
                    </w:rPr>
                    <w:t xml:space="preserve">）的总量（以碳计）。待国家监测方法标准发布后，增加对主要 </w:t>
                  </w:r>
                  <w:r>
                    <w:rPr>
                      <w:rFonts w:hint="default" w:ascii="Times New Roman" w:hAnsi="Times New Roman" w:eastAsia="宋体" w:cs="Times New Roman"/>
                      <w:color w:val="auto"/>
                      <w:kern w:val="0"/>
                      <w:sz w:val="21"/>
                      <w:szCs w:val="21"/>
                      <w:lang w:val="en-US" w:eastAsia="zh-CN" w:bidi="ar"/>
                    </w:rPr>
                    <w:t xml:space="preserve">VOCs </w:t>
                  </w:r>
                  <w:r>
                    <w:rPr>
                      <w:rFonts w:hint="eastAsia" w:ascii="Times New Roman" w:hAnsi="Times New Roman" w:eastAsia="宋体" w:cs="Times New Roman"/>
                      <w:color w:val="auto"/>
                      <w:kern w:val="0"/>
                      <w:sz w:val="21"/>
                      <w:szCs w:val="21"/>
                      <w:lang w:val="en-US" w:eastAsia="zh-CN" w:bidi="ar"/>
                    </w:rPr>
                    <w:t xml:space="preserve">物种进行定量加和的方法测量 </w:t>
                  </w:r>
                  <w:r>
                    <w:rPr>
                      <w:rFonts w:hint="default" w:ascii="Times New Roman" w:hAnsi="Times New Roman" w:eastAsia="宋体" w:cs="Times New Roman"/>
                      <w:color w:val="auto"/>
                      <w:kern w:val="0"/>
                      <w:sz w:val="21"/>
                      <w:szCs w:val="21"/>
                      <w:lang w:val="en-US" w:eastAsia="zh-CN" w:bidi="ar"/>
                    </w:rPr>
                    <w:t>VOCs</w:t>
                  </w:r>
                  <w:r>
                    <w:rPr>
                      <w:rFonts w:hint="eastAsia" w:ascii="Times New Roman" w:hAnsi="Times New Roman" w:eastAsia="宋体" w:cs="Times New Roman"/>
                      <w:color w:val="auto"/>
                      <w:kern w:val="0"/>
                      <w:sz w:val="21"/>
                      <w:szCs w:val="21"/>
                      <w:lang w:val="en-US" w:eastAsia="zh-CN" w:bidi="ar"/>
                    </w:rPr>
                    <w:t xml:space="preserve">（以 </w:t>
                  </w:r>
                  <w:r>
                    <w:rPr>
                      <w:rFonts w:hint="default" w:ascii="Times New Roman" w:hAnsi="Times New Roman" w:eastAsia="宋体" w:cs="Times New Roman"/>
                      <w:color w:val="auto"/>
                      <w:kern w:val="0"/>
                      <w:sz w:val="21"/>
                      <w:szCs w:val="21"/>
                      <w:lang w:val="en-US" w:eastAsia="zh-CN" w:bidi="ar"/>
                    </w:rPr>
                    <w:t xml:space="preserve">TOC </w:t>
                  </w:r>
                  <w:r>
                    <w:rPr>
                      <w:rFonts w:hint="eastAsia" w:ascii="Times New Roman" w:hAnsi="Times New Roman" w:eastAsia="宋体" w:cs="Times New Roman"/>
                      <w:color w:val="auto"/>
                      <w:kern w:val="0"/>
                      <w:sz w:val="21"/>
                      <w:szCs w:val="21"/>
                      <w:lang w:val="en-US" w:eastAsia="zh-CN" w:bidi="ar"/>
                    </w:rPr>
                    <w:t>表示）。</w:t>
                  </w:r>
                  <w:r>
                    <w:rPr>
                      <w:rFonts w:hint="eastAsia" w:ascii="Times New Roman" w:hAnsi="Times New Roman" w:eastAsia="宋体" w:cs="Times New Roman"/>
                      <w:color w:val="auto"/>
                      <w:kern w:val="0"/>
                      <w:sz w:val="21"/>
                      <w:szCs w:val="21"/>
                      <w:lang w:eastAsia="zh-CN" w:bidi="ar"/>
                    </w:rPr>
                    <w:t>根据以上规定，</w:t>
                  </w:r>
                  <w:r>
                    <w:rPr>
                      <w:rFonts w:hint="default" w:ascii="Times New Roman" w:hAnsi="Times New Roman" w:eastAsia="宋体" w:cs="Times New Roman"/>
                      <w:color w:val="auto"/>
                      <w:kern w:val="0"/>
                      <w:sz w:val="21"/>
                      <w:szCs w:val="21"/>
                      <w:lang w:bidi="ar"/>
                    </w:rPr>
                    <w:t>VOCs的评价采用非甲烷总烃检测结果进行评价。</w:t>
                  </w:r>
                </w:p>
              </w:tc>
            </w:tr>
          </w:tbl>
          <w:p w14:paraId="2A568E0D">
            <w:pPr>
              <w:pStyle w:val="1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b/>
                <w:color w:val="auto"/>
                <w:sz w:val="21"/>
                <w:szCs w:val="21"/>
              </w:rPr>
            </w:pPr>
          </w:p>
          <w:p w14:paraId="18486E2B">
            <w:pPr>
              <w:pStyle w:val="17"/>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Times New Roman" w:hAnsi="Times New Roman"/>
                <w:b/>
                <w:color w:val="auto"/>
                <w:sz w:val="21"/>
                <w:szCs w:val="21"/>
              </w:rPr>
            </w:pPr>
            <w:r>
              <w:rPr>
                <w:rFonts w:hint="eastAsia" w:ascii="Times New Roman" w:hAnsi="Times New Roman"/>
                <w:b/>
                <w:color w:val="auto"/>
                <w:sz w:val="21"/>
                <w:szCs w:val="21"/>
              </w:rPr>
              <w:t>表</w:t>
            </w:r>
            <w:r>
              <w:rPr>
                <w:rFonts w:hint="eastAsia" w:ascii="Times New Roman" w:hAnsi="Times New Roman"/>
                <w:b/>
                <w:color w:val="auto"/>
                <w:sz w:val="21"/>
                <w:szCs w:val="21"/>
                <w:lang w:val="en-US" w:eastAsia="zh-CN"/>
              </w:rPr>
              <w:t>6</w:t>
            </w:r>
            <w:r>
              <w:rPr>
                <w:rFonts w:ascii="Times New Roman" w:hAnsi="Times New Roman"/>
                <w:b/>
                <w:color w:val="auto"/>
                <w:sz w:val="21"/>
                <w:szCs w:val="21"/>
              </w:rPr>
              <w:t>-</w:t>
            </w:r>
            <w:r>
              <w:rPr>
                <w:rFonts w:hint="eastAsia" w:ascii="Times New Roman" w:hAnsi="Times New Roman"/>
                <w:b/>
                <w:color w:val="auto"/>
                <w:sz w:val="21"/>
                <w:szCs w:val="21"/>
                <w:lang w:val="en-US" w:eastAsia="zh-CN"/>
              </w:rPr>
              <w:t>4 无组织废气</w:t>
            </w:r>
            <w:r>
              <w:rPr>
                <w:rFonts w:hint="eastAsia" w:ascii="Times New Roman" w:hAnsi="Times New Roman"/>
                <w:b/>
                <w:color w:val="auto"/>
                <w:sz w:val="21"/>
                <w:szCs w:val="21"/>
              </w:rPr>
              <w:t>评价标准</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376"/>
              <w:gridCol w:w="1125"/>
              <w:gridCol w:w="1932"/>
              <w:gridCol w:w="4638"/>
            </w:tblGrid>
            <w:tr w14:paraId="4F0D7F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80" w:hRule="atLeast"/>
                <w:tblHeader/>
                <w:jc w:val="center"/>
              </w:trPr>
              <w:tc>
                <w:tcPr>
                  <w:tcW w:w="1376" w:type="dxa"/>
                  <w:tcBorders>
                    <w:tl2br w:val="nil"/>
                    <w:tr2bl w:val="nil"/>
                  </w:tcBorders>
                  <w:noWrap w:val="0"/>
                  <w:vAlign w:val="center"/>
                </w:tcPr>
                <w:p w14:paraId="7E08A9C0">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序号</w:t>
                  </w:r>
                </w:p>
              </w:tc>
              <w:tc>
                <w:tcPr>
                  <w:tcW w:w="1125" w:type="dxa"/>
                  <w:tcBorders>
                    <w:tl2br w:val="nil"/>
                    <w:tr2bl w:val="nil"/>
                  </w:tcBorders>
                  <w:noWrap w:val="0"/>
                  <w:vAlign w:val="center"/>
                </w:tcPr>
                <w:p w14:paraId="632D5B7D">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检测</w:t>
                  </w:r>
                  <w:r>
                    <w:rPr>
                      <w:rFonts w:hint="default" w:ascii="Times New Roman" w:hAnsi="Times New Roman" w:cs="Times New Roman"/>
                      <w:color w:val="auto"/>
                      <w:sz w:val="21"/>
                      <w:szCs w:val="21"/>
                    </w:rPr>
                    <w:t>项目</w:t>
                  </w:r>
                </w:p>
              </w:tc>
              <w:tc>
                <w:tcPr>
                  <w:tcW w:w="1932" w:type="dxa"/>
                  <w:tcBorders>
                    <w:tl2br w:val="nil"/>
                    <w:tr2bl w:val="nil"/>
                  </w:tcBorders>
                  <w:noWrap w:val="0"/>
                  <w:vAlign w:val="center"/>
                </w:tcPr>
                <w:p w14:paraId="6645434D">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标准限值</w:t>
                  </w:r>
                  <w:r>
                    <w:rPr>
                      <w:rFonts w:hint="eastAsia" w:ascii="Times New Roman" w:hAnsi="Times New Roman" w:cs="Times New Roman"/>
                      <w:color w:val="auto"/>
                      <w:sz w:val="21"/>
                      <w:szCs w:val="21"/>
                      <w:lang w:val="en-US" w:eastAsia="zh-CN"/>
                    </w:rPr>
                    <w:t>（</w:t>
                  </w:r>
                  <w:r>
                    <w:rPr>
                      <w:b w:val="0"/>
                      <w:bCs w:val="0"/>
                      <w:color w:val="auto"/>
                      <w:spacing w:val="-4"/>
                      <w:sz w:val="21"/>
                      <w:szCs w:val="21"/>
                    </w:rPr>
                    <w:t>mg/</w:t>
                  </w:r>
                  <w:r>
                    <w:rPr>
                      <w:rFonts w:hint="eastAsia"/>
                      <w:b w:val="0"/>
                      <w:bCs w:val="0"/>
                      <w:color w:val="auto"/>
                      <w:spacing w:val="-4"/>
                      <w:sz w:val="21"/>
                      <w:szCs w:val="21"/>
                      <w:lang w:val="en-US" w:eastAsia="zh-CN"/>
                    </w:rPr>
                    <w:t>m</w:t>
                  </w:r>
                  <w:r>
                    <w:rPr>
                      <w:rFonts w:hint="default" w:ascii="Times New Roman" w:hAnsi="Times New Roman" w:cs="Times New Roman"/>
                      <w:b w:val="0"/>
                      <w:bCs w:val="0"/>
                      <w:color w:val="auto"/>
                      <w:spacing w:val="-4"/>
                      <w:sz w:val="21"/>
                      <w:szCs w:val="21"/>
                      <w:lang w:val="en-US" w:eastAsia="zh-CN"/>
                    </w:rPr>
                    <w:t>³</w:t>
                  </w:r>
                  <w:r>
                    <w:rPr>
                      <w:rFonts w:hint="eastAsia" w:ascii="Times New Roman" w:hAnsi="Times New Roman" w:cs="Times New Roman"/>
                      <w:color w:val="auto"/>
                      <w:sz w:val="21"/>
                      <w:szCs w:val="21"/>
                      <w:lang w:val="en-US" w:eastAsia="zh-CN"/>
                    </w:rPr>
                    <w:t>）</w:t>
                  </w:r>
                </w:p>
              </w:tc>
              <w:tc>
                <w:tcPr>
                  <w:tcW w:w="4638" w:type="dxa"/>
                  <w:tcBorders>
                    <w:tl2br w:val="nil"/>
                    <w:tr2bl w:val="nil"/>
                  </w:tcBorders>
                  <w:noWrap w:val="0"/>
                  <w:vAlign w:val="center"/>
                </w:tcPr>
                <w:p w14:paraId="181A91CF">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标准名称及编号</w:t>
                  </w:r>
                </w:p>
              </w:tc>
            </w:tr>
            <w:tr w14:paraId="42C2F3A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80" w:hRule="atLeast"/>
                <w:tblHeader/>
                <w:jc w:val="center"/>
              </w:trPr>
              <w:tc>
                <w:tcPr>
                  <w:tcW w:w="1376" w:type="dxa"/>
                  <w:tcBorders>
                    <w:tl2br w:val="nil"/>
                    <w:tr2bl w:val="nil"/>
                  </w:tcBorders>
                  <w:noWrap w:val="0"/>
                  <w:vAlign w:val="center"/>
                </w:tcPr>
                <w:p w14:paraId="24076C3D">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eastAsia="宋体" w:cs="宋体"/>
                      <w:color w:val="auto"/>
                      <w:sz w:val="21"/>
                      <w:szCs w:val="21"/>
                      <w:lang w:val="en-US" w:eastAsia="zh-CN"/>
                    </w:rPr>
                  </w:pPr>
                  <w:r>
                    <w:rPr>
                      <w:rFonts w:hint="eastAsia" w:eastAsia="宋体" w:cs="宋体"/>
                      <w:color w:val="auto"/>
                      <w:sz w:val="21"/>
                      <w:szCs w:val="21"/>
                      <w:lang w:val="en-US" w:eastAsia="zh-CN"/>
                    </w:rPr>
                    <w:t>1</w:t>
                  </w:r>
                </w:p>
              </w:tc>
              <w:tc>
                <w:tcPr>
                  <w:tcW w:w="1125" w:type="dxa"/>
                  <w:tcBorders>
                    <w:tl2br w:val="nil"/>
                    <w:tr2bl w:val="nil"/>
                  </w:tcBorders>
                  <w:noWrap w:val="0"/>
                  <w:vAlign w:val="center"/>
                </w:tcPr>
                <w:p w14:paraId="4862ADF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000000"/>
                      <w:sz w:val="21"/>
                      <w:szCs w:val="21"/>
                      <w:lang w:val="en-US" w:eastAsia="zh-CN"/>
                    </w:rPr>
                    <w:t>硫化氢</w:t>
                  </w:r>
                </w:p>
              </w:tc>
              <w:tc>
                <w:tcPr>
                  <w:tcW w:w="1932" w:type="dxa"/>
                  <w:tcBorders>
                    <w:tl2br w:val="nil"/>
                    <w:tr2bl w:val="nil"/>
                  </w:tcBorders>
                  <w:noWrap w:val="0"/>
                  <w:vAlign w:val="center"/>
                </w:tcPr>
                <w:p w14:paraId="0D8A3E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position w:val="6"/>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0.06</w:t>
                  </w:r>
                </w:p>
              </w:tc>
              <w:tc>
                <w:tcPr>
                  <w:tcW w:w="4638" w:type="dxa"/>
                  <w:vMerge w:val="restart"/>
                  <w:tcBorders>
                    <w:tl2br w:val="nil"/>
                    <w:tr2bl w:val="nil"/>
                  </w:tcBorders>
                  <w:noWrap w:val="0"/>
                  <w:tcMar>
                    <w:left w:w="0" w:type="dxa"/>
                    <w:right w:w="0" w:type="dxa"/>
                  </w:tcMar>
                  <w:vAlign w:val="center"/>
                </w:tcPr>
                <w:p w14:paraId="4B179459">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r>
                    <w:rPr>
                      <w:rFonts w:hint="default" w:ascii="Times New Roman" w:hAnsi="Times New Roman" w:cs="Times New Roman"/>
                      <w:color w:val="000000"/>
                      <w:sz w:val="21"/>
                      <w:szCs w:val="21"/>
                      <w:lang w:val="en-US" w:eastAsia="zh-CN"/>
                    </w:rPr>
                    <w:t>恶臭污染物排放标准</w:t>
                  </w:r>
                  <w:r>
                    <w:rPr>
                      <w:rFonts w:hint="default" w:ascii="Times New Roman" w:hAnsi="Times New Roman" w:cs="Times New Roman"/>
                      <w:color w:val="000000"/>
                      <w:sz w:val="21"/>
                      <w:szCs w:val="21"/>
                    </w:rPr>
                    <w:t>》</w:t>
                  </w:r>
                </w:p>
                <w:p w14:paraId="319243AA">
                  <w:pPr>
                    <w:spacing w:line="240" w:lineRule="auto"/>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rPr>
                    <w:t>GB</w:t>
                  </w:r>
                  <w:r>
                    <w:rPr>
                      <w:rFonts w:hint="default" w:ascii="Times New Roman" w:hAnsi="Times New Roman" w:cs="Times New Roman"/>
                      <w:color w:val="000000"/>
                      <w:sz w:val="21"/>
                      <w:szCs w:val="21"/>
                      <w:lang w:val="en-US" w:eastAsia="zh-CN"/>
                    </w:rPr>
                    <w:t xml:space="preserve"> 14554-93</w:t>
                  </w:r>
                </w:p>
                <w:p w14:paraId="05590B02">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sz w:val="21"/>
                      <w:szCs w:val="21"/>
                      <w:lang w:val="en-US" w:eastAsia="zh-CN"/>
                    </w:rPr>
                    <w:t>表1二级新扩改建</w:t>
                  </w:r>
                </w:p>
              </w:tc>
            </w:tr>
            <w:tr w14:paraId="683FB0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80" w:hRule="atLeast"/>
                <w:tblHeader/>
                <w:jc w:val="center"/>
              </w:trPr>
              <w:tc>
                <w:tcPr>
                  <w:tcW w:w="1376" w:type="dxa"/>
                  <w:tcBorders>
                    <w:tl2br w:val="nil"/>
                    <w:tr2bl w:val="nil"/>
                  </w:tcBorders>
                  <w:noWrap w:val="0"/>
                  <w:vAlign w:val="center"/>
                </w:tcPr>
                <w:p w14:paraId="679DF2A0">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eastAsia="宋体" w:cs="宋体"/>
                      <w:color w:val="auto"/>
                      <w:sz w:val="21"/>
                      <w:szCs w:val="21"/>
                      <w:lang w:val="en-US" w:eastAsia="zh-CN"/>
                    </w:rPr>
                  </w:pPr>
                  <w:r>
                    <w:rPr>
                      <w:rFonts w:hint="eastAsia" w:eastAsia="宋体" w:cs="宋体"/>
                      <w:color w:val="auto"/>
                      <w:sz w:val="21"/>
                      <w:szCs w:val="21"/>
                      <w:lang w:val="en-US" w:eastAsia="zh-CN"/>
                    </w:rPr>
                    <w:t>2</w:t>
                  </w:r>
                </w:p>
              </w:tc>
              <w:tc>
                <w:tcPr>
                  <w:tcW w:w="1125" w:type="dxa"/>
                  <w:tcBorders>
                    <w:tl2br w:val="nil"/>
                    <w:tr2bl w:val="nil"/>
                  </w:tcBorders>
                  <w:noWrap w:val="0"/>
                  <w:vAlign w:val="center"/>
                </w:tcPr>
                <w:p w14:paraId="571673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932" w:type="dxa"/>
                  <w:tcBorders>
                    <w:tl2br w:val="nil"/>
                    <w:tr2bl w:val="nil"/>
                  </w:tcBorders>
                  <w:noWrap w:val="0"/>
                  <w:vAlign w:val="center"/>
                </w:tcPr>
                <w:p w14:paraId="1A682F1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position w:val="6"/>
                      <w:sz w:val="21"/>
                      <w:szCs w:val="21"/>
                      <w:lang w:val="en-US" w:eastAsia="zh-CN" w:bidi="ar-SA"/>
                    </w:rPr>
                  </w:pPr>
                  <w:r>
                    <w:rPr>
                      <w:rFonts w:hint="default" w:ascii="Times New Roman" w:hAnsi="Times New Roman" w:eastAsia="宋体" w:cs="Times New Roman"/>
                      <w:b w:val="0"/>
                      <w:bCs/>
                      <w:color w:val="000000"/>
                      <w:sz w:val="21"/>
                      <w:szCs w:val="21"/>
                      <w:vertAlign w:val="baseline"/>
                      <w:lang w:val="en-US" w:eastAsia="zh-CN"/>
                    </w:rPr>
                    <w:t>1.5</w:t>
                  </w:r>
                </w:p>
              </w:tc>
              <w:tc>
                <w:tcPr>
                  <w:tcW w:w="4638" w:type="dxa"/>
                  <w:vMerge w:val="continue"/>
                  <w:tcBorders>
                    <w:tl2br w:val="nil"/>
                    <w:tr2bl w:val="nil"/>
                  </w:tcBorders>
                  <w:noWrap w:val="0"/>
                  <w:tcMar>
                    <w:left w:w="0" w:type="dxa"/>
                    <w:right w:w="0" w:type="dxa"/>
                  </w:tcMar>
                  <w:vAlign w:val="center"/>
                </w:tcPr>
                <w:p w14:paraId="38CDD9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color w:val="auto"/>
                      <w:sz w:val="21"/>
                      <w:szCs w:val="21"/>
                      <w:lang w:val="en-US"/>
                    </w:rPr>
                  </w:pPr>
                </w:p>
              </w:tc>
            </w:tr>
            <w:tr w14:paraId="116EA1C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80" w:hRule="atLeast"/>
                <w:tblHeader/>
                <w:jc w:val="center"/>
              </w:trPr>
              <w:tc>
                <w:tcPr>
                  <w:tcW w:w="1376" w:type="dxa"/>
                  <w:tcBorders>
                    <w:tl2br w:val="nil"/>
                    <w:tr2bl w:val="nil"/>
                  </w:tcBorders>
                  <w:noWrap w:val="0"/>
                  <w:vAlign w:val="center"/>
                </w:tcPr>
                <w:p w14:paraId="3199D8A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eastAsia="宋体" w:cs="宋体"/>
                      <w:color w:val="auto"/>
                      <w:sz w:val="21"/>
                      <w:szCs w:val="21"/>
                      <w:lang w:val="en-US" w:eastAsia="zh-CN"/>
                    </w:rPr>
                  </w:pPr>
                  <w:r>
                    <w:rPr>
                      <w:rFonts w:hint="eastAsia" w:eastAsia="宋体" w:cs="宋体"/>
                      <w:color w:val="auto"/>
                      <w:sz w:val="21"/>
                      <w:szCs w:val="21"/>
                      <w:lang w:val="en-US" w:eastAsia="zh-CN"/>
                    </w:rPr>
                    <w:t>3</w:t>
                  </w:r>
                </w:p>
              </w:tc>
              <w:tc>
                <w:tcPr>
                  <w:tcW w:w="1125" w:type="dxa"/>
                  <w:tcBorders>
                    <w:tl2br w:val="nil"/>
                    <w:tr2bl w:val="nil"/>
                  </w:tcBorders>
                  <w:noWrap w:val="0"/>
                  <w:vAlign w:val="center"/>
                </w:tcPr>
                <w:p w14:paraId="461D6CF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b w:val="0"/>
                      <w:bCs/>
                      <w:color w:val="000000"/>
                      <w:sz w:val="21"/>
                      <w:szCs w:val="21"/>
                      <w:vertAlign w:val="baseline"/>
                      <w:lang w:val="en-US" w:eastAsia="zh-CN"/>
                    </w:rPr>
                    <w:t>臭气浓度（无量纲）</w:t>
                  </w:r>
                </w:p>
              </w:tc>
              <w:tc>
                <w:tcPr>
                  <w:tcW w:w="1932" w:type="dxa"/>
                  <w:tcBorders>
                    <w:tl2br w:val="nil"/>
                    <w:tr2bl w:val="nil"/>
                  </w:tcBorders>
                  <w:noWrap w:val="0"/>
                  <w:vAlign w:val="center"/>
                </w:tcPr>
                <w:p w14:paraId="738A84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position w:val="6"/>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20</w:t>
                  </w:r>
                </w:p>
              </w:tc>
              <w:tc>
                <w:tcPr>
                  <w:tcW w:w="4638" w:type="dxa"/>
                  <w:vMerge w:val="continue"/>
                  <w:tcBorders>
                    <w:tl2br w:val="nil"/>
                    <w:tr2bl w:val="nil"/>
                  </w:tcBorders>
                  <w:noWrap w:val="0"/>
                  <w:tcMar>
                    <w:left w:w="0" w:type="dxa"/>
                    <w:right w:w="0" w:type="dxa"/>
                  </w:tcMar>
                  <w:vAlign w:val="center"/>
                </w:tcPr>
                <w:p w14:paraId="5C3682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color w:val="auto"/>
                      <w:sz w:val="21"/>
                      <w:szCs w:val="21"/>
                      <w:lang w:val="en-US" w:eastAsia="zh-CN"/>
                    </w:rPr>
                  </w:pPr>
                </w:p>
              </w:tc>
            </w:tr>
            <w:tr w14:paraId="328D62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80" w:hRule="atLeast"/>
                <w:tblHeader/>
                <w:jc w:val="center"/>
              </w:trPr>
              <w:tc>
                <w:tcPr>
                  <w:tcW w:w="1376" w:type="dxa"/>
                  <w:tcBorders>
                    <w:tl2br w:val="nil"/>
                    <w:tr2bl w:val="nil"/>
                  </w:tcBorders>
                  <w:noWrap w:val="0"/>
                  <w:vAlign w:val="center"/>
                </w:tcPr>
                <w:p w14:paraId="0ABF65CD">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4</w:t>
                  </w:r>
                </w:p>
              </w:tc>
              <w:tc>
                <w:tcPr>
                  <w:tcW w:w="1125" w:type="dxa"/>
                  <w:tcBorders>
                    <w:tl2br w:val="nil"/>
                    <w:tr2bl w:val="nil"/>
                  </w:tcBorders>
                  <w:noWrap w:val="0"/>
                  <w:vAlign w:val="center"/>
                </w:tcPr>
                <w:p w14:paraId="2187A0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b w:val="0"/>
                      <w:bCs/>
                      <w:color w:val="000000"/>
                      <w:sz w:val="21"/>
                      <w:szCs w:val="21"/>
                      <w:vertAlign w:val="baseline"/>
                      <w:lang w:val="en-US" w:eastAsia="zh-CN"/>
                    </w:rPr>
                    <w:t>颗粒物</w:t>
                  </w:r>
                </w:p>
              </w:tc>
              <w:tc>
                <w:tcPr>
                  <w:tcW w:w="1932" w:type="dxa"/>
                  <w:tcBorders>
                    <w:tl2br w:val="nil"/>
                    <w:tr2bl w:val="nil"/>
                  </w:tcBorders>
                  <w:noWrap w:val="0"/>
                  <w:vAlign w:val="center"/>
                </w:tcPr>
                <w:p w14:paraId="02051C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position w:val="6"/>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1.0</w:t>
                  </w:r>
                </w:p>
              </w:tc>
              <w:tc>
                <w:tcPr>
                  <w:tcW w:w="4638" w:type="dxa"/>
                  <w:vMerge w:val="restart"/>
                  <w:tcBorders>
                    <w:tl2br w:val="nil"/>
                    <w:tr2bl w:val="nil"/>
                  </w:tcBorders>
                  <w:noWrap w:val="0"/>
                  <w:tcMar>
                    <w:left w:w="0" w:type="dxa"/>
                    <w:right w:w="0" w:type="dxa"/>
                  </w:tcMar>
                  <w:vAlign w:val="center"/>
                </w:tcPr>
                <w:p w14:paraId="69B38F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w:t>
                  </w:r>
                  <w:r>
                    <w:rPr>
                      <w:rFonts w:hint="default" w:ascii="Times New Roman" w:hAnsi="Times New Roman" w:cs="Times New Roman"/>
                      <w:b w:val="0"/>
                      <w:bCs/>
                      <w:color w:val="000000"/>
                      <w:sz w:val="21"/>
                      <w:szCs w:val="21"/>
                      <w:vertAlign w:val="baseline"/>
                      <w:lang w:val="en-US" w:eastAsia="zh-CN"/>
                    </w:rPr>
                    <w:t>大气污染物综合排放标准</w:t>
                  </w:r>
                  <w:r>
                    <w:rPr>
                      <w:rFonts w:hint="default" w:ascii="Times New Roman" w:hAnsi="Times New Roman" w:cs="Times New Roman"/>
                      <w:b w:val="0"/>
                      <w:bCs/>
                      <w:color w:val="000000"/>
                      <w:sz w:val="21"/>
                      <w:szCs w:val="21"/>
                      <w:vertAlign w:val="baseline"/>
                      <w:lang w:eastAsia="zh-CN"/>
                    </w:rPr>
                    <w:t>》</w:t>
                  </w:r>
                </w:p>
                <w:p w14:paraId="73E8EA6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color w:val="auto"/>
                      <w:sz w:val="21"/>
                      <w:szCs w:val="21"/>
                      <w:lang w:val="en-US"/>
                    </w:rPr>
                  </w:pPr>
                  <w:r>
                    <w:rPr>
                      <w:rFonts w:hint="default" w:ascii="Times New Roman" w:hAnsi="Times New Roman" w:cs="Times New Roman"/>
                      <w:b w:val="0"/>
                      <w:bCs/>
                      <w:color w:val="000000"/>
                      <w:sz w:val="21"/>
                      <w:szCs w:val="21"/>
                      <w:vertAlign w:val="baseline"/>
                      <w:lang w:val="en-US" w:eastAsia="zh-CN"/>
                    </w:rPr>
                    <w:t xml:space="preserve">GB 16297-1996 表2 </w:t>
                  </w:r>
                </w:p>
              </w:tc>
            </w:tr>
            <w:tr w14:paraId="3FECEDD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80" w:hRule="atLeast"/>
                <w:tblHeader/>
                <w:jc w:val="center"/>
              </w:trPr>
              <w:tc>
                <w:tcPr>
                  <w:tcW w:w="1376" w:type="dxa"/>
                  <w:tcBorders>
                    <w:tl2br w:val="nil"/>
                    <w:tr2bl w:val="nil"/>
                  </w:tcBorders>
                  <w:noWrap w:val="0"/>
                  <w:vAlign w:val="center"/>
                </w:tcPr>
                <w:p w14:paraId="67419A72">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5</w:t>
                  </w:r>
                </w:p>
              </w:tc>
              <w:tc>
                <w:tcPr>
                  <w:tcW w:w="1125" w:type="dxa"/>
                  <w:tcBorders>
                    <w:tl2br w:val="nil"/>
                    <w:tr2bl w:val="nil"/>
                  </w:tcBorders>
                  <w:noWrap w:val="0"/>
                  <w:vAlign w:val="center"/>
                </w:tcPr>
                <w:p w14:paraId="3D2E0F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932" w:type="dxa"/>
                  <w:tcBorders>
                    <w:tl2br w:val="nil"/>
                    <w:tr2bl w:val="nil"/>
                  </w:tcBorders>
                  <w:noWrap w:val="0"/>
                  <w:vAlign w:val="center"/>
                </w:tcPr>
                <w:p w14:paraId="62C702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z w:val="21"/>
                      <w:szCs w:val="21"/>
                      <w:vertAlign w:val="baseline"/>
                      <w:lang w:val="en-US" w:eastAsia="zh-CN"/>
                    </w:rPr>
                  </w:pPr>
                  <w:r>
                    <w:rPr>
                      <w:rFonts w:hint="eastAsia" w:ascii="Times New Roman" w:hAnsi="Times New Roman" w:eastAsia="宋体" w:cs="Times New Roman"/>
                      <w:b w:val="0"/>
                      <w:bCs/>
                      <w:color w:val="000000"/>
                      <w:sz w:val="21"/>
                      <w:szCs w:val="21"/>
                      <w:vertAlign w:val="baseline"/>
                      <w:lang w:val="en-US" w:eastAsia="zh-CN"/>
                    </w:rPr>
                    <w:t>4.0</w:t>
                  </w:r>
                </w:p>
              </w:tc>
              <w:tc>
                <w:tcPr>
                  <w:tcW w:w="4638" w:type="dxa"/>
                  <w:vMerge w:val="continue"/>
                  <w:tcBorders>
                    <w:tl2br w:val="nil"/>
                    <w:tr2bl w:val="nil"/>
                  </w:tcBorders>
                  <w:noWrap w:val="0"/>
                  <w:tcMar>
                    <w:left w:w="0" w:type="dxa"/>
                    <w:right w:w="0" w:type="dxa"/>
                  </w:tcMar>
                  <w:vAlign w:val="center"/>
                </w:tcPr>
                <w:p w14:paraId="087869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b w:val="0"/>
                      <w:bCs/>
                      <w:color w:val="000000"/>
                      <w:sz w:val="21"/>
                      <w:szCs w:val="21"/>
                      <w:vertAlign w:val="baseline"/>
                      <w:lang w:val="en-US" w:eastAsia="zh-CN"/>
                    </w:rPr>
                  </w:pPr>
                </w:p>
              </w:tc>
            </w:tr>
          </w:tbl>
          <w:p w14:paraId="31257EE3">
            <w:pPr>
              <w:spacing w:line="240" w:lineRule="auto"/>
              <w:jc w:val="center"/>
              <w:rPr>
                <w:rFonts w:hint="default"/>
                <w:color w:val="0000FF"/>
              </w:rPr>
            </w:pPr>
          </w:p>
        </w:tc>
      </w:tr>
      <w:tr w14:paraId="5ACB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cantSplit/>
          <w:trHeight w:val="13323" w:hRule="atLeast"/>
          <w:jc w:val="center"/>
        </w:trPr>
        <w:tc>
          <w:tcPr>
            <w:tcW w:w="9611" w:type="dxa"/>
            <w:noWrap w:val="0"/>
            <w:vAlign w:val="top"/>
          </w:tcPr>
          <w:p w14:paraId="4B476E4F">
            <w:pPr>
              <w:pStyle w:val="3"/>
              <w:keepNext/>
              <w:keepLines w:val="0"/>
              <w:pageBreakBefore w:val="0"/>
              <w:widowControl w:val="0"/>
              <w:numPr>
                <w:ilvl w:val="0"/>
                <w:numId w:val="0"/>
              </w:numPr>
              <w:kinsoku/>
              <w:wordWrap/>
              <w:overflowPunct/>
              <w:topLinePunct w:val="0"/>
              <w:autoSpaceDE/>
              <w:autoSpaceDN/>
              <w:bidi w:val="0"/>
              <w:adjustRightInd/>
              <w:snapToGrid/>
              <w:spacing w:before="0" w:beforeLines="0" w:after="0" w:afterLines="0"/>
              <w:textAlignment w:val="auto"/>
              <w:rPr>
                <w:rStyle w:val="43"/>
                <w:rFonts w:hint="default" w:ascii="Times New Roman" w:hAnsi="Times New Roman" w:cs="Times New Roman"/>
                <w:b/>
                <w:bCs/>
                <w:color w:val="auto"/>
              </w:rPr>
            </w:pPr>
            <w:bookmarkStart w:id="26" w:name="_Toc21215"/>
            <w:bookmarkStart w:id="27" w:name="_Toc7344"/>
            <w:bookmarkStart w:id="28" w:name="_Toc17899"/>
            <w:bookmarkStart w:id="29" w:name="_Toc21582_WPSOffice_Level1"/>
            <w:bookmarkStart w:id="30" w:name="_Toc198_WPSOffice_Level1"/>
            <w:r>
              <w:rPr>
                <w:rStyle w:val="43"/>
                <w:rFonts w:hint="default" w:ascii="Times New Roman" w:hAnsi="Times New Roman" w:cs="Times New Roman"/>
                <w:b/>
                <w:bCs/>
                <w:color w:val="auto"/>
              </w:rPr>
              <w:t>表六  验收</w:t>
            </w:r>
            <w:r>
              <w:rPr>
                <w:rStyle w:val="43"/>
                <w:rFonts w:hint="eastAsia" w:ascii="Times New Roman" w:hAnsi="Times New Roman" w:eastAsia="宋体" w:cs="Times New Roman"/>
                <w:b/>
                <w:bCs/>
                <w:color w:val="auto"/>
                <w:lang w:eastAsia="zh-CN"/>
              </w:rPr>
              <w:t>检测</w:t>
            </w:r>
            <w:r>
              <w:rPr>
                <w:rStyle w:val="43"/>
                <w:rFonts w:hint="default" w:ascii="Times New Roman" w:hAnsi="Times New Roman" w:cs="Times New Roman"/>
                <w:b/>
                <w:bCs/>
                <w:color w:val="auto"/>
              </w:rPr>
              <w:t>内容</w:t>
            </w:r>
            <w:bookmarkEnd w:id="26"/>
            <w:bookmarkEnd w:id="27"/>
            <w:bookmarkEnd w:id="28"/>
            <w:bookmarkEnd w:id="29"/>
            <w:bookmarkEnd w:id="30"/>
          </w:p>
          <w:p w14:paraId="0993580A">
            <w:pPr>
              <w:pStyle w:val="3"/>
              <w:keepNext/>
              <w:keepLines w:val="0"/>
              <w:pageBreakBefore w:val="0"/>
              <w:widowControl w:val="0"/>
              <w:numPr>
                <w:ilvl w:val="0"/>
                <w:numId w:val="0"/>
              </w:numPr>
              <w:kinsoku/>
              <w:wordWrap/>
              <w:overflowPunct/>
              <w:topLinePunct w:val="0"/>
              <w:autoSpaceDE/>
              <w:autoSpaceDN/>
              <w:bidi w:val="0"/>
              <w:adjustRightInd/>
              <w:snapToGrid/>
              <w:spacing w:before="0" w:beforeLines="0" w:after="0" w:afterLines="0"/>
              <w:textAlignment w:val="auto"/>
              <w:rPr>
                <w:rFonts w:hint="default"/>
                <w:b/>
                <w:bCs/>
                <w:sz w:val="24"/>
                <w:szCs w:val="24"/>
              </w:rPr>
            </w:pPr>
            <w:r>
              <w:rPr>
                <w:rFonts w:hint="eastAsia"/>
                <w:b/>
                <w:bCs/>
                <w:sz w:val="24"/>
                <w:szCs w:val="24"/>
                <w:lang w:val="en-US" w:eastAsia="zh-CN"/>
              </w:rPr>
              <w:t>6</w:t>
            </w:r>
            <w:r>
              <w:rPr>
                <w:rFonts w:hint="default"/>
                <w:b/>
                <w:bCs/>
                <w:sz w:val="24"/>
                <w:szCs w:val="24"/>
              </w:rPr>
              <w:t>、</w:t>
            </w:r>
            <w:r>
              <w:rPr>
                <w:rFonts w:hint="eastAsia"/>
                <w:b/>
                <w:bCs/>
                <w:sz w:val="24"/>
                <w:szCs w:val="24"/>
                <w:lang w:eastAsia="zh-CN"/>
              </w:rPr>
              <w:t>检测</w:t>
            </w:r>
            <w:r>
              <w:rPr>
                <w:rFonts w:hint="default"/>
                <w:b/>
                <w:bCs/>
                <w:sz w:val="24"/>
                <w:szCs w:val="24"/>
              </w:rPr>
              <w:t>内容</w:t>
            </w:r>
          </w:p>
          <w:p w14:paraId="5DA8812C">
            <w:pPr>
              <w:keepNext w:val="0"/>
              <w:keepLines w:val="0"/>
              <w:suppressLineNumbers w:val="0"/>
              <w:spacing w:before="0" w:beforeAutospacing="0" w:after="0" w:afterAutospacing="0" w:line="360" w:lineRule="auto"/>
              <w:ind w:left="0" w:right="0"/>
              <w:jc w:val="left"/>
              <w:rPr>
                <w:rFonts w:hint="default"/>
                <w:sz w:val="24"/>
                <w:szCs w:val="24"/>
                <w:lang w:val="en-US" w:eastAsia="zh-CN"/>
              </w:rPr>
            </w:pPr>
            <w:r>
              <w:rPr>
                <w:rFonts w:hint="default"/>
                <w:sz w:val="24"/>
                <w:szCs w:val="24"/>
                <w:lang w:val="en-US" w:eastAsia="zh-CN"/>
              </w:rPr>
              <w:t>6.1</w:t>
            </w:r>
            <w:r>
              <w:rPr>
                <w:rFonts w:hint="eastAsia"/>
                <w:sz w:val="24"/>
                <w:szCs w:val="24"/>
                <w:lang w:val="en-US" w:eastAsia="zh-CN"/>
              </w:rPr>
              <w:t>废水</w:t>
            </w:r>
          </w:p>
          <w:p w14:paraId="5DA8CBBD">
            <w:pPr>
              <w:keepNext w:val="0"/>
              <w:keepLines w:val="0"/>
              <w:suppressLineNumbers w:val="0"/>
              <w:spacing w:before="0" w:beforeAutospacing="0" w:after="0" w:afterAutospacing="0" w:line="360" w:lineRule="auto"/>
              <w:ind w:left="0" w:right="0" w:firstLine="480" w:firstLineChars="200"/>
              <w:rPr>
                <w:rFonts w:hint="default"/>
                <w:sz w:val="24"/>
                <w:szCs w:val="24"/>
                <w:lang w:val="en-US" w:eastAsia="zh-CN"/>
              </w:rPr>
            </w:pPr>
            <w:r>
              <w:rPr>
                <w:rFonts w:hint="default"/>
                <w:sz w:val="24"/>
                <w:szCs w:val="24"/>
                <w:lang w:val="en-US" w:eastAsia="zh-CN"/>
              </w:rPr>
              <w:t>本项目</w:t>
            </w:r>
            <w:r>
              <w:rPr>
                <w:rFonts w:hint="eastAsia"/>
                <w:sz w:val="24"/>
                <w:szCs w:val="24"/>
                <w:lang w:val="en-US" w:eastAsia="zh-CN"/>
              </w:rPr>
              <w:t>废水</w:t>
            </w:r>
            <w:r>
              <w:rPr>
                <w:rFonts w:hint="default"/>
                <w:sz w:val="24"/>
                <w:szCs w:val="24"/>
                <w:lang w:val="en-US" w:eastAsia="zh-CN"/>
              </w:rPr>
              <w:t>监测内容见下表6-1：</w:t>
            </w:r>
          </w:p>
          <w:p w14:paraId="6127696F">
            <w:pPr>
              <w:keepNext w:val="0"/>
              <w:keepLines w:val="0"/>
              <w:suppressLineNumbers w:val="0"/>
              <w:spacing w:before="0" w:beforeAutospacing="0" w:after="0" w:afterAutospacing="0" w:line="360" w:lineRule="auto"/>
              <w:ind w:left="0" w:right="0"/>
              <w:jc w:val="center"/>
              <w:rPr>
                <w:rFonts w:hint="default"/>
                <w:b/>
                <w:bCs/>
                <w:color w:val="auto"/>
                <w:sz w:val="24"/>
                <w:szCs w:val="24"/>
                <w:lang w:val="en-US" w:eastAsia="zh-CN"/>
              </w:rPr>
            </w:pPr>
            <w:r>
              <w:rPr>
                <w:rFonts w:hint="default"/>
                <w:b/>
                <w:bCs/>
                <w:color w:val="auto"/>
                <w:sz w:val="24"/>
                <w:szCs w:val="24"/>
                <w:lang w:val="en-US" w:eastAsia="zh-CN"/>
              </w:rPr>
              <w:t>表6-1项目</w:t>
            </w:r>
            <w:r>
              <w:rPr>
                <w:rFonts w:hint="eastAsia"/>
                <w:b/>
                <w:bCs/>
                <w:color w:val="auto"/>
                <w:sz w:val="24"/>
                <w:szCs w:val="24"/>
                <w:lang w:val="en-US" w:eastAsia="zh-CN"/>
              </w:rPr>
              <w:t>废水</w:t>
            </w:r>
            <w:r>
              <w:rPr>
                <w:rFonts w:hint="default"/>
                <w:b/>
                <w:bCs/>
                <w:color w:val="auto"/>
                <w:sz w:val="24"/>
                <w:szCs w:val="24"/>
                <w:lang w:val="en-US" w:eastAsia="zh-CN"/>
              </w:rPr>
              <w:t>监测内容</w:t>
            </w:r>
          </w:p>
          <w:tbl>
            <w:tblPr>
              <w:tblStyle w:val="34"/>
              <w:tblW w:w="4409"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4712"/>
              <w:gridCol w:w="1810"/>
            </w:tblGrid>
            <w:tr w14:paraId="455C3F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63" w:type="pct"/>
                  <w:noWrap w:val="0"/>
                  <w:vAlign w:val="center"/>
                </w:tcPr>
                <w:p w14:paraId="0C9C6360">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监测点位</w:t>
                  </w:r>
                </w:p>
              </w:tc>
              <w:tc>
                <w:tcPr>
                  <w:tcW w:w="2843" w:type="pct"/>
                  <w:noWrap w:val="0"/>
                  <w:vAlign w:val="center"/>
                </w:tcPr>
                <w:p w14:paraId="5EFB88F9">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监测因子</w:t>
                  </w:r>
                </w:p>
              </w:tc>
              <w:tc>
                <w:tcPr>
                  <w:tcW w:w="1092" w:type="pct"/>
                  <w:noWrap w:val="0"/>
                  <w:vAlign w:val="center"/>
                </w:tcPr>
                <w:p w14:paraId="3996FAFF">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监测频次及周期</w:t>
                  </w:r>
                </w:p>
              </w:tc>
            </w:tr>
            <w:tr w14:paraId="50FA46F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63" w:type="pct"/>
                  <w:noWrap w:val="0"/>
                  <w:vAlign w:val="center"/>
                </w:tcPr>
                <w:p w14:paraId="4A7AB16D">
                  <w:pPr>
                    <w:snapToGrid w:val="0"/>
                    <w:spacing w:line="240" w:lineRule="auto"/>
                    <w:jc w:val="center"/>
                    <w:rPr>
                      <w:rFonts w:hint="default"/>
                    </w:rPr>
                  </w:pPr>
                  <w:r>
                    <w:rPr>
                      <w:rFonts w:hint="eastAsia"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处理设施废水总排口</w:t>
                  </w:r>
                </w:p>
              </w:tc>
              <w:tc>
                <w:tcPr>
                  <w:tcW w:w="2843" w:type="pct"/>
                  <w:noWrap w:val="0"/>
                  <w:vAlign w:val="center"/>
                </w:tcPr>
                <w:p w14:paraId="2B0C87EF">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lang w:val="en-US" w:eastAsia="zh-CN"/>
                    </w:rPr>
                  </w:pPr>
                  <w:r>
                    <w:rPr>
                      <w:rFonts w:hint="default" w:ascii="Times New Roman" w:hAnsi="Times New Roman" w:eastAsia="宋体" w:cs="Times New Roman"/>
                      <w:color w:val="auto"/>
                      <w:sz w:val="21"/>
                      <w:szCs w:val="21"/>
                      <w:lang w:val="en-US" w:eastAsia="zh-CN"/>
                    </w:rPr>
                    <w:t>pH、化学需氧量、五日生化需氧量</w:t>
                  </w:r>
                  <w:r>
                    <w:rPr>
                      <w:rFonts w:hint="eastAsia"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氨氮</w:t>
                  </w:r>
                  <w:r>
                    <w:rPr>
                      <w:rFonts w:hint="eastAsia" w:ascii="Times New Roman" w:hAnsi="Times New Roman" w:cs="Times New Roman"/>
                      <w:color w:val="auto"/>
                      <w:sz w:val="21"/>
                      <w:szCs w:val="21"/>
                      <w:lang w:val="en-US" w:eastAsia="zh-CN"/>
                    </w:rPr>
                    <w:t>、总氮</w:t>
                  </w:r>
                </w:p>
              </w:tc>
              <w:tc>
                <w:tcPr>
                  <w:tcW w:w="1092" w:type="pct"/>
                  <w:noWrap w:val="0"/>
                  <w:vAlign w:val="center"/>
                </w:tcPr>
                <w:p w14:paraId="55D0C59A">
                  <w:pPr>
                    <w:pStyle w:val="29"/>
                    <w:adjustRightInd w:val="0"/>
                    <w:snapToGrid w:val="0"/>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w:t>
                  </w:r>
                  <w:r>
                    <w:rPr>
                      <w:rFonts w:hint="eastAsia" w:ascii="Times New Roman" w:hAnsi="Times New Roman" w:cs="Times New Roman"/>
                      <w:color w:val="auto"/>
                      <w:sz w:val="21"/>
                      <w:szCs w:val="21"/>
                      <w:lang w:val="en-US" w:eastAsia="zh-CN"/>
                    </w:rPr>
                    <w:t>检</w:t>
                  </w:r>
                  <w:r>
                    <w:rPr>
                      <w:rFonts w:hint="default" w:ascii="Times New Roman" w:hAnsi="Times New Roman" w:eastAsia="宋体" w:cs="Times New Roman"/>
                      <w:color w:val="auto"/>
                      <w:sz w:val="21"/>
                      <w:szCs w:val="21"/>
                      <w:lang w:val="en-US" w:eastAsia="zh-CN"/>
                    </w:rPr>
                    <w:t>测2天</w:t>
                  </w:r>
                </w:p>
                <w:p w14:paraId="750C35D1">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ascii="Times New Roman" w:hAnsi="Times New Roman" w:eastAsia="宋体" w:cs="Times New Roman"/>
                      <w:color w:val="auto"/>
                      <w:sz w:val="21"/>
                      <w:szCs w:val="21"/>
                      <w:lang w:val="en-US" w:eastAsia="zh-CN"/>
                    </w:rPr>
                    <w:t>每天采样4次</w:t>
                  </w:r>
                </w:p>
              </w:tc>
            </w:tr>
          </w:tbl>
          <w:p w14:paraId="11EEE06F">
            <w:pPr>
              <w:spacing w:line="240" w:lineRule="auto"/>
              <w:jc w:val="center"/>
              <w:rPr>
                <w:rFonts w:hint="default"/>
                <w:lang w:val="en-US" w:eastAsia="zh-CN"/>
              </w:rPr>
            </w:pPr>
          </w:p>
          <w:p w14:paraId="3702D5B6">
            <w:pPr>
              <w:keepNext w:val="0"/>
              <w:keepLines w:val="0"/>
              <w:suppressLineNumbers w:val="0"/>
              <w:spacing w:before="0" w:beforeAutospacing="0" w:after="0" w:afterAutospacing="0" w:line="360" w:lineRule="auto"/>
              <w:ind w:left="0" w:right="0"/>
              <w:jc w:val="left"/>
              <w:rPr>
                <w:rFonts w:hint="default"/>
                <w:sz w:val="24"/>
                <w:szCs w:val="24"/>
                <w:lang w:val="en-US" w:eastAsia="zh-CN"/>
              </w:rPr>
            </w:pPr>
            <w:r>
              <w:rPr>
                <w:rFonts w:hint="default"/>
                <w:sz w:val="24"/>
                <w:szCs w:val="24"/>
                <w:lang w:val="en-US" w:eastAsia="zh-CN"/>
              </w:rPr>
              <w:t>6.</w:t>
            </w:r>
            <w:r>
              <w:rPr>
                <w:rFonts w:hint="eastAsia"/>
                <w:sz w:val="24"/>
                <w:szCs w:val="24"/>
                <w:lang w:val="en-US" w:eastAsia="zh-CN"/>
              </w:rPr>
              <w:t>2无组织</w:t>
            </w:r>
            <w:r>
              <w:rPr>
                <w:rFonts w:hint="default"/>
                <w:sz w:val="24"/>
                <w:szCs w:val="24"/>
                <w:lang w:val="en-US" w:eastAsia="zh-CN"/>
              </w:rPr>
              <w:t>废</w:t>
            </w:r>
            <w:r>
              <w:rPr>
                <w:rFonts w:hint="eastAsia"/>
                <w:sz w:val="24"/>
                <w:szCs w:val="24"/>
                <w:lang w:val="en-US" w:eastAsia="zh-CN"/>
              </w:rPr>
              <w:t>气</w:t>
            </w:r>
          </w:p>
          <w:p w14:paraId="5A920263">
            <w:pPr>
              <w:keepNext w:val="0"/>
              <w:keepLines w:val="0"/>
              <w:suppressLineNumbers w:val="0"/>
              <w:spacing w:before="0" w:beforeAutospacing="0" w:after="0" w:afterAutospacing="0" w:line="360" w:lineRule="auto"/>
              <w:ind w:left="0" w:right="0" w:firstLine="480" w:firstLineChars="200"/>
              <w:rPr>
                <w:rFonts w:hint="default"/>
                <w:sz w:val="24"/>
                <w:szCs w:val="24"/>
                <w:lang w:val="en-US" w:eastAsia="zh-CN"/>
              </w:rPr>
            </w:pPr>
            <w:r>
              <w:rPr>
                <w:rFonts w:hint="default"/>
                <w:sz w:val="24"/>
                <w:szCs w:val="24"/>
                <w:lang w:val="en-US" w:eastAsia="zh-CN"/>
              </w:rPr>
              <w:t>本项目</w:t>
            </w:r>
            <w:r>
              <w:rPr>
                <w:rFonts w:hint="eastAsia"/>
                <w:sz w:val="24"/>
                <w:szCs w:val="24"/>
                <w:lang w:val="en-US" w:eastAsia="zh-CN"/>
              </w:rPr>
              <w:t>无组织废气</w:t>
            </w:r>
            <w:r>
              <w:rPr>
                <w:rFonts w:hint="default"/>
                <w:sz w:val="24"/>
                <w:szCs w:val="24"/>
                <w:lang w:val="en-US" w:eastAsia="zh-CN"/>
              </w:rPr>
              <w:t>监测内容见下表6-</w:t>
            </w:r>
            <w:r>
              <w:rPr>
                <w:rFonts w:hint="eastAsia"/>
                <w:sz w:val="24"/>
                <w:szCs w:val="24"/>
                <w:lang w:val="en-US" w:eastAsia="zh-CN"/>
              </w:rPr>
              <w:t>2</w:t>
            </w:r>
            <w:r>
              <w:rPr>
                <w:rFonts w:hint="default"/>
                <w:sz w:val="24"/>
                <w:szCs w:val="24"/>
                <w:lang w:val="en-US" w:eastAsia="zh-CN"/>
              </w:rPr>
              <w:t>：</w:t>
            </w:r>
          </w:p>
          <w:p w14:paraId="261D3CE3">
            <w:pPr>
              <w:keepNext w:val="0"/>
              <w:keepLines w:val="0"/>
              <w:suppressLineNumbers w:val="0"/>
              <w:spacing w:before="0" w:beforeAutospacing="0" w:after="0" w:afterAutospacing="0" w:line="360" w:lineRule="auto"/>
              <w:ind w:left="0" w:right="0"/>
              <w:jc w:val="center"/>
              <w:rPr>
                <w:rFonts w:hint="default"/>
                <w:b/>
                <w:bCs/>
                <w:color w:val="auto"/>
                <w:sz w:val="24"/>
                <w:szCs w:val="24"/>
                <w:lang w:val="en-US" w:eastAsia="zh-CN"/>
              </w:rPr>
            </w:pPr>
            <w:r>
              <w:rPr>
                <w:rFonts w:hint="default"/>
                <w:b/>
                <w:bCs/>
                <w:color w:val="auto"/>
                <w:sz w:val="24"/>
                <w:szCs w:val="24"/>
                <w:lang w:val="en-US" w:eastAsia="zh-CN"/>
              </w:rPr>
              <w:t>表6-</w:t>
            </w:r>
            <w:r>
              <w:rPr>
                <w:rFonts w:hint="eastAsia"/>
                <w:b/>
                <w:bCs/>
                <w:color w:val="auto"/>
                <w:sz w:val="24"/>
                <w:szCs w:val="24"/>
                <w:lang w:val="en-US" w:eastAsia="zh-CN"/>
              </w:rPr>
              <w:t>2</w:t>
            </w:r>
            <w:r>
              <w:rPr>
                <w:rFonts w:hint="default"/>
                <w:b/>
                <w:bCs/>
                <w:color w:val="auto"/>
                <w:sz w:val="24"/>
                <w:szCs w:val="24"/>
                <w:lang w:val="en-US" w:eastAsia="zh-CN"/>
              </w:rPr>
              <w:t>项目</w:t>
            </w:r>
            <w:r>
              <w:rPr>
                <w:rFonts w:hint="eastAsia"/>
                <w:b/>
                <w:bCs/>
                <w:color w:val="auto"/>
                <w:sz w:val="24"/>
                <w:szCs w:val="24"/>
                <w:lang w:val="en-US" w:eastAsia="zh-CN"/>
              </w:rPr>
              <w:t>无组织废气</w:t>
            </w:r>
            <w:r>
              <w:rPr>
                <w:rFonts w:hint="default"/>
                <w:b/>
                <w:bCs/>
                <w:color w:val="auto"/>
                <w:sz w:val="24"/>
                <w:szCs w:val="24"/>
                <w:lang w:val="en-US" w:eastAsia="zh-CN"/>
              </w:rPr>
              <w:t>监测内容</w:t>
            </w:r>
          </w:p>
          <w:tbl>
            <w:tblPr>
              <w:tblStyle w:val="34"/>
              <w:tblW w:w="431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53"/>
              <w:gridCol w:w="2496"/>
              <w:gridCol w:w="2565"/>
            </w:tblGrid>
            <w:tr w14:paraId="7DEBDD5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881" w:type="pct"/>
                  <w:noWrap w:val="0"/>
                  <w:vAlign w:val="center"/>
                </w:tcPr>
                <w:p w14:paraId="6E036D13">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监测点位</w:t>
                  </w:r>
                </w:p>
              </w:tc>
              <w:tc>
                <w:tcPr>
                  <w:tcW w:w="1538" w:type="pct"/>
                  <w:noWrap w:val="0"/>
                  <w:vAlign w:val="center"/>
                </w:tcPr>
                <w:p w14:paraId="7F3946F3">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监测因子</w:t>
                  </w:r>
                </w:p>
              </w:tc>
              <w:tc>
                <w:tcPr>
                  <w:tcW w:w="1580" w:type="pct"/>
                  <w:noWrap w:val="0"/>
                  <w:vAlign w:val="center"/>
                </w:tcPr>
                <w:p w14:paraId="76C8D9E6">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监测频次及周期</w:t>
                  </w:r>
                </w:p>
              </w:tc>
            </w:tr>
            <w:tr w14:paraId="53DF97B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3" w:type="dxa"/>
                  <w:shd w:val="clear" w:color="auto" w:fill="auto"/>
                  <w:noWrap w:val="0"/>
                  <w:vAlign w:val="center"/>
                </w:tcPr>
                <w:p w14:paraId="2A15F2BE">
                  <w:pPr>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#厂界下风向10m内</w:t>
                  </w:r>
                </w:p>
              </w:tc>
              <w:tc>
                <w:tcPr>
                  <w:tcW w:w="2496" w:type="dxa"/>
                  <w:vMerge w:val="restart"/>
                  <w:noWrap w:val="0"/>
                  <w:vAlign w:val="center"/>
                </w:tcPr>
                <w:p w14:paraId="6FEA66DB">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lang w:val="en-US" w:eastAsia="zh-CN"/>
                    </w:rPr>
                  </w:pPr>
                  <w:r>
                    <w:rPr>
                      <w:rFonts w:hint="default" w:ascii="Times New Roman" w:hAnsi="Times New Roman" w:eastAsia="宋体" w:cs="Times New Roman"/>
                      <w:color w:val="auto"/>
                      <w:sz w:val="21"/>
                      <w:szCs w:val="21"/>
                      <w:lang w:val="en-US" w:eastAsia="zh-CN"/>
                    </w:rPr>
                    <w:t>硫化氢、氨、臭气浓度、颗粒物、非甲烷总烃</w:t>
                  </w:r>
                </w:p>
              </w:tc>
              <w:tc>
                <w:tcPr>
                  <w:tcW w:w="2565" w:type="dxa"/>
                  <w:vMerge w:val="restart"/>
                  <w:noWrap w:val="0"/>
                  <w:vAlign w:val="center"/>
                </w:tcPr>
                <w:p w14:paraId="38DB5772">
                  <w:pPr>
                    <w:pStyle w:val="29"/>
                    <w:adjustRightInd w:val="0"/>
                    <w:snapToGrid w:val="0"/>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w:t>
                  </w:r>
                  <w:r>
                    <w:rPr>
                      <w:rFonts w:hint="eastAsia" w:ascii="Times New Roman" w:hAnsi="Times New Roman" w:cs="Times New Roman"/>
                      <w:color w:val="auto"/>
                      <w:sz w:val="21"/>
                      <w:szCs w:val="21"/>
                      <w:lang w:val="en-US" w:eastAsia="zh-CN"/>
                    </w:rPr>
                    <w:t>检</w:t>
                  </w:r>
                  <w:r>
                    <w:rPr>
                      <w:rFonts w:hint="default" w:ascii="Times New Roman" w:hAnsi="Times New Roman" w:eastAsia="宋体" w:cs="Times New Roman"/>
                      <w:color w:val="auto"/>
                      <w:sz w:val="21"/>
                      <w:szCs w:val="21"/>
                      <w:lang w:val="en-US" w:eastAsia="zh-CN"/>
                    </w:rPr>
                    <w:t>测2天</w:t>
                  </w:r>
                </w:p>
                <w:p w14:paraId="60E95729">
                  <w:pPr>
                    <w:pStyle w:val="29"/>
                    <w:adjustRightInd w:val="0"/>
                    <w:snapToGrid w:val="0"/>
                    <w:spacing w:before="0" w:beforeAutospacing="0" w:after="0" w:afterAutospacing="0" w:line="240" w:lineRule="auto"/>
                    <w:jc w:val="center"/>
                    <w:rPr>
                      <w:rFonts w:hint="default"/>
                    </w:rPr>
                  </w:pPr>
                  <w:r>
                    <w:rPr>
                      <w:rFonts w:hint="default" w:ascii="Times New Roman" w:hAnsi="Times New Roman" w:eastAsia="宋体" w:cs="Times New Roman"/>
                      <w:color w:val="auto"/>
                      <w:sz w:val="21"/>
                      <w:szCs w:val="21"/>
                      <w:lang w:val="en-US" w:eastAsia="zh-CN"/>
                    </w:rPr>
                    <w:t>每天采样</w:t>
                  </w:r>
                  <w:r>
                    <w:rPr>
                      <w:rFonts w:hint="eastAsia" w:ascii="Times New Roman" w:hAnsi="Times New Roman" w:cs="Times New Roman"/>
                      <w:color w:val="auto"/>
                      <w:sz w:val="21"/>
                      <w:szCs w:val="21"/>
                      <w:lang w:val="en-US" w:eastAsia="zh-CN"/>
                    </w:rPr>
                    <w:t>4</w:t>
                  </w:r>
                  <w:r>
                    <w:rPr>
                      <w:rFonts w:hint="default" w:ascii="Times New Roman" w:hAnsi="Times New Roman" w:eastAsia="宋体" w:cs="Times New Roman"/>
                      <w:color w:val="auto"/>
                      <w:sz w:val="21"/>
                      <w:szCs w:val="21"/>
                      <w:lang w:val="en-US" w:eastAsia="zh-CN"/>
                    </w:rPr>
                    <w:t>次</w:t>
                  </w:r>
                </w:p>
              </w:tc>
            </w:tr>
            <w:tr w14:paraId="1FE34AD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053" w:type="dxa"/>
                  <w:shd w:val="clear" w:color="auto" w:fill="auto"/>
                  <w:noWrap w:val="0"/>
                  <w:vAlign w:val="center"/>
                </w:tcPr>
                <w:p w14:paraId="6C164BB2">
                  <w:pPr>
                    <w:snapToGrid w:val="0"/>
                    <w:spacing w:line="240" w:lineRule="auto"/>
                    <w:jc w:val="center"/>
                    <w:rPr>
                      <w:rFonts w:hint="default" w:ascii="Times New Roman" w:hAnsi="Times New Roman" w:eastAsia="宋体" w:cs="Times New Roman"/>
                      <w:bCs/>
                      <w:color w:val="auto"/>
                      <w:sz w:val="21"/>
                      <w:szCs w:val="21"/>
                      <w:highlight w:val="none"/>
                      <w:lang w:val="en-US" w:eastAsia="zh-CN"/>
                    </w:rPr>
                  </w:pPr>
                  <w:bookmarkStart w:id="31" w:name="无废3"/>
                  <w:bookmarkStart w:id="32" w:name="无组织1"/>
                  <w:r>
                    <w:rPr>
                      <w:rFonts w:hint="eastAsia"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#厂界下风向10m内</w:t>
                  </w:r>
                </w:p>
              </w:tc>
              <w:tc>
                <w:tcPr>
                  <w:tcW w:w="2496" w:type="dxa"/>
                  <w:vMerge w:val="continue"/>
                  <w:noWrap w:val="0"/>
                  <w:vAlign w:val="center"/>
                </w:tcPr>
                <w:p w14:paraId="3F69ACCE">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1"/>
                      <w:szCs w:val="21"/>
                      <w:lang w:val="en-US" w:eastAsia="zh-CN"/>
                    </w:rPr>
                  </w:pPr>
                </w:p>
              </w:tc>
              <w:tc>
                <w:tcPr>
                  <w:tcW w:w="2565" w:type="dxa"/>
                  <w:vMerge w:val="continue"/>
                  <w:noWrap w:val="0"/>
                  <w:vAlign w:val="center"/>
                </w:tcPr>
                <w:p w14:paraId="4444F37C">
                  <w:pPr>
                    <w:pStyle w:val="29"/>
                    <w:adjustRightInd w:val="0"/>
                    <w:snapToGrid w:val="0"/>
                    <w:spacing w:before="0" w:beforeAutospacing="0" w:after="0" w:afterAutospacing="0" w:line="240" w:lineRule="auto"/>
                    <w:jc w:val="center"/>
                    <w:rPr>
                      <w:rFonts w:hint="default" w:ascii="Times New Roman" w:hAnsi="Times New Roman" w:cs="Times New Roman"/>
                      <w:color w:val="auto"/>
                      <w:sz w:val="21"/>
                      <w:szCs w:val="21"/>
                      <w:lang w:val="en-US" w:eastAsia="zh-CN"/>
                    </w:rPr>
                  </w:pPr>
                </w:p>
              </w:tc>
            </w:tr>
            <w:tr w14:paraId="01CC7A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3053" w:type="dxa"/>
                  <w:shd w:val="clear" w:color="auto" w:fill="auto"/>
                  <w:vAlign w:val="center"/>
                </w:tcPr>
                <w:p w14:paraId="139F9B89">
                  <w:pPr>
                    <w:snapToGrid w:val="0"/>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eastAsia" w:eastAsia="宋体" w:cs="Times New Roman"/>
                      <w:color w:val="auto"/>
                      <w:sz w:val="21"/>
                      <w:szCs w:val="21"/>
                      <w:lang w:val="en-US" w:eastAsia="zh-CN"/>
                    </w:rPr>
                    <w:t>3#厂界下风向10m内</w:t>
                  </w:r>
                </w:p>
              </w:tc>
              <w:tc>
                <w:tcPr>
                  <w:tcW w:w="2496" w:type="dxa"/>
                  <w:vMerge w:val="continue"/>
                  <w:vAlign w:val="center"/>
                </w:tcPr>
                <w:p w14:paraId="3B600961">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lang w:val="en-US" w:eastAsia="zh-CN"/>
                    </w:rPr>
                  </w:pPr>
                </w:p>
              </w:tc>
              <w:tc>
                <w:tcPr>
                  <w:tcW w:w="2565" w:type="dxa"/>
                  <w:vMerge w:val="continue"/>
                  <w:vAlign w:val="center"/>
                </w:tcPr>
                <w:p w14:paraId="19C465D1">
                  <w:pPr>
                    <w:pStyle w:val="29"/>
                    <w:adjustRightInd w:val="0"/>
                    <w:snapToGrid w:val="0"/>
                    <w:spacing w:before="0" w:beforeAutospacing="0" w:after="0" w:afterAutospacing="0" w:line="240" w:lineRule="auto"/>
                    <w:jc w:val="center"/>
                    <w:rPr>
                      <w:rFonts w:hint="default"/>
                    </w:rPr>
                  </w:pPr>
                </w:p>
              </w:tc>
            </w:tr>
            <w:bookmarkEnd w:id="31"/>
            <w:bookmarkEnd w:id="32"/>
          </w:tbl>
          <w:p w14:paraId="6A0AE4F2">
            <w:pPr>
              <w:keepNext w:val="0"/>
              <w:keepLines w:val="0"/>
              <w:suppressLineNumbers w:val="0"/>
              <w:spacing w:before="0" w:beforeAutospacing="0" w:after="0" w:afterAutospacing="0" w:line="360" w:lineRule="auto"/>
              <w:ind w:left="0" w:right="0"/>
              <w:jc w:val="left"/>
              <w:rPr>
                <w:rFonts w:hint="default"/>
                <w:sz w:val="24"/>
                <w:szCs w:val="24"/>
                <w:lang w:val="en-US" w:eastAsia="zh-CN"/>
              </w:rPr>
            </w:pPr>
          </w:p>
          <w:p w14:paraId="01496C1C">
            <w:pPr>
              <w:keepNext w:val="0"/>
              <w:keepLines w:val="0"/>
              <w:suppressLineNumbers w:val="0"/>
              <w:spacing w:before="0" w:beforeAutospacing="0" w:after="0" w:afterAutospacing="0" w:line="360" w:lineRule="auto"/>
              <w:ind w:left="0" w:right="0"/>
              <w:jc w:val="left"/>
              <w:rPr>
                <w:rFonts w:hint="default"/>
                <w:sz w:val="24"/>
                <w:szCs w:val="24"/>
                <w:lang w:val="en-US" w:eastAsia="zh-CN"/>
              </w:rPr>
            </w:pPr>
            <w:r>
              <w:rPr>
                <w:rFonts w:hint="default"/>
                <w:sz w:val="24"/>
                <w:szCs w:val="24"/>
                <w:lang w:val="en-US" w:eastAsia="zh-CN"/>
              </w:rPr>
              <w:t>6.</w:t>
            </w:r>
            <w:r>
              <w:rPr>
                <w:rFonts w:hint="eastAsia"/>
                <w:sz w:val="24"/>
                <w:szCs w:val="24"/>
                <w:lang w:val="en-US" w:eastAsia="zh-CN"/>
              </w:rPr>
              <w:t>3有组织</w:t>
            </w:r>
            <w:r>
              <w:rPr>
                <w:rFonts w:hint="default"/>
                <w:sz w:val="24"/>
                <w:szCs w:val="24"/>
                <w:lang w:val="en-US" w:eastAsia="zh-CN"/>
              </w:rPr>
              <w:t>废</w:t>
            </w:r>
            <w:r>
              <w:rPr>
                <w:rFonts w:hint="eastAsia"/>
                <w:sz w:val="24"/>
                <w:szCs w:val="24"/>
                <w:lang w:val="en-US" w:eastAsia="zh-CN"/>
              </w:rPr>
              <w:t>气</w:t>
            </w:r>
          </w:p>
          <w:p w14:paraId="0B459FA1">
            <w:pPr>
              <w:keepNext w:val="0"/>
              <w:keepLines w:val="0"/>
              <w:suppressLineNumbers w:val="0"/>
              <w:spacing w:before="0" w:beforeAutospacing="0" w:after="0" w:afterAutospacing="0" w:line="360" w:lineRule="auto"/>
              <w:ind w:left="0" w:right="0" w:firstLine="480" w:firstLineChars="200"/>
              <w:rPr>
                <w:rFonts w:hint="default"/>
                <w:sz w:val="24"/>
                <w:szCs w:val="24"/>
                <w:lang w:val="en-US" w:eastAsia="zh-CN"/>
              </w:rPr>
            </w:pPr>
            <w:r>
              <w:rPr>
                <w:rFonts w:hint="default"/>
                <w:sz w:val="24"/>
                <w:szCs w:val="24"/>
                <w:lang w:val="en-US" w:eastAsia="zh-CN"/>
              </w:rPr>
              <w:t>本项目</w:t>
            </w:r>
            <w:r>
              <w:rPr>
                <w:rFonts w:hint="eastAsia"/>
                <w:sz w:val="24"/>
                <w:szCs w:val="24"/>
                <w:lang w:val="en-US" w:eastAsia="zh-CN"/>
              </w:rPr>
              <w:t>有组织废气</w:t>
            </w:r>
            <w:r>
              <w:rPr>
                <w:rFonts w:hint="default"/>
                <w:sz w:val="24"/>
                <w:szCs w:val="24"/>
                <w:lang w:val="en-US" w:eastAsia="zh-CN"/>
              </w:rPr>
              <w:t>监测内容见下表6-</w:t>
            </w:r>
            <w:r>
              <w:rPr>
                <w:rFonts w:hint="eastAsia"/>
                <w:sz w:val="24"/>
                <w:szCs w:val="24"/>
                <w:lang w:val="en-US" w:eastAsia="zh-CN"/>
              </w:rPr>
              <w:t>3</w:t>
            </w:r>
            <w:r>
              <w:rPr>
                <w:rFonts w:hint="default"/>
                <w:sz w:val="24"/>
                <w:szCs w:val="24"/>
                <w:lang w:val="en-US" w:eastAsia="zh-CN"/>
              </w:rPr>
              <w:t>：</w:t>
            </w:r>
          </w:p>
          <w:p w14:paraId="1B0A04D9">
            <w:pPr>
              <w:keepNext w:val="0"/>
              <w:keepLines w:val="0"/>
              <w:suppressLineNumbers w:val="0"/>
              <w:spacing w:before="0" w:beforeAutospacing="0" w:after="0" w:afterAutospacing="0" w:line="360" w:lineRule="auto"/>
              <w:ind w:left="0" w:right="0"/>
              <w:jc w:val="center"/>
              <w:rPr>
                <w:rFonts w:hint="default"/>
                <w:b/>
                <w:bCs/>
                <w:color w:val="auto"/>
                <w:sz w:val="24"/>
                <w:szCs w:val="24"/>
                <w:lang w:val="en-US" w:eastAsia="zh-CN"/>
              </w:rPr>
            </w:pPr>
            <w:r>
              <w:rPr>
                <w:rFonts w:hint="default"/>
                <w:b/>
                <w:bCs/>
                <w:color w:val="auto"/>
                <w:sz w:val="24"/>
                <w:szCs w:val="24"/>
                <w:lang w:val="en-US" w:eastAsia="zh-CN"/>
              </w:rPr>
              <w:t>表6-</w:t>
            </w:r>
            <w:r>
              <w:rPr>
                <w:rFonts w:hint="eastAsia"/>
                <w:b/>
                <w:bCs/>
                <w:color w:val="auto"/>
                <w:sz w:val="24"/>
                <w:szCs w:val="24"/>
                <w:lang w:val="en-US" w:eastAsia="zh-CN"/>
              </w:rPr>
              <w:t>3</w:t>
            </w:r>
            <w:r>
              <w:rPr>
                <w:rFonts w:hint="default"/>
                <w:b/>
                <w:bCs/>
                <w:color w:val="auto"/>
                <w:sz w:val="24"/>
                <w:szCs w:val="24"/>
                <w:lang w:val="en-US" w:eastAsia="zh-CN"/>
              </w:rPr>
              <w:t>项目</w:t>
            </w:r>
            <w:r>
              <w:rPr>
                <w:rFonts w:hint="eastAsia"/>
                <w:b/>
                <w:bCs/>
                <w:color w:val="auto"/>
                <w:sz w:val="24"/>
                <w:szCs w:val="24"/>
                <w:lang w:val="en-US" w:eastAsia="zh-CN"/>
              </w:rPr>
              <w:t>有组织废气</w:t>
            </w:r>
            <w:r>
              <w:rPr>
                <w:rFonts w:hint="default"/>
                <w:b/>
                <w:bCs/>
                <w:color w:val="auto"/>
                <w:sz w:val="24"/>
                <w:szCs w:val="24"/>
                <w:lang w:val="en-US" w:eastAsia="zh-CN"/>
              </w:rPr>
              <w:t>监测内容</w:t>
            </w:r>
          </w:p>
          <w:tbl>
            <w:tblPr>
              <w:tblStyle w:val="34"/>
              <w:tblW w:w="431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53"/>
              <w:gridCol w:w="2496"/>
              <w:gridCol w:w="2565"/>
            </w:tblGrid>
            <w:tr w14:paraId="1564BF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881" w:type="pct"/>
                  <w:noWrap w:val="0"/>
                  <w:vAlign w:val="center"/>
                </w:tcPr>
                <w:p w14:paraId="1EB8C727">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监测点位</w:t>
                  </w:r>
                </w:p>
              </w:tc>
              <w:tc>
                <w:tcPr>
                  <w:tcW w:w="1538" w:type="pct"/>
                  <w:noWrap w:val="0"/>
                  <w:vAlign w:val="center"/>
                </w:tcPr>
                <w:p w14:paraId="1FB53D97">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监测因子</w:t>
                  </w:r>
                </w:p>
              </w:tc>
              <w:tc>
                <w:tcPr>
                  <w:tcW w:w="1580" w:type="pct"/>
                  <w:noWrap w:val="0"/>
                  <w:vAlign w:val="center"/>
                </w:tcPr>
                <w:p w14:paraId="3CBEB821">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监测频次及周期</w:t>
                  </w:r>
                </w:p>
              </w:tc>
            </w:tr>
            <w:tr w14:paraId="783C394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3" w:type="dxa"/>
                  <w:shd w:val="clear" w:color="auto" w:fill="auto"/>
                  <w:noWrap w:val="0"/>
                  <w:vAlign w:val="center"/>
                </w:tcPr>
                <w:p w14:paraId="6B2A6686">
                  <w:pPr>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1#除臭废气排气筒出口</w:t>
                  </w:r>
                </w:p>
              </w:tc>
              <w:tc>
                <w:tcPr>
                  <w:tcW w:w="2496" w:type="dxa"/>
                  <w:noWrap w:val="0"/>
                  <w:vAlign w:val="center"/>
                </w:tcPr>
                <w:p w14:paraId="432F6B85">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lang w:val="en-US" w:eastAsia="zh-CN"/>
                    </w:rPr>
                  </w:pPr>
                  <w:r>
                    <w:rPr>
                      <w:rFonts w:hint="default" w:ascii="Times New Roman" w:hAnsi="Times New Roman" w:cs="Times New Roman"/>
                      <w:color w:val="auto"/>
                      <w:sz w:val="21"/>
                      <w:szCs w:val="21"/>
                      <w:lang w:val="en-US" w:eastAsia="zh-CN"/>
                    </w:rPr>
                    <w:t>硫化氢、氨、臭气浓度、VOC</w:t>
                  </w:r>
                  <w:r>
                    <w:rPr>
                      <w:rFonts w:hint="eastAsia" w:ascii="Times New Roman" w:hAnsi="Times New Roman" w:cs="Times New Roman"/>
                      <w:color w:val="auto"/>
                      <w:sz w:val="21"/>
                      <w:szCs w:val="21"/>
                      <w:lang w:val="en-US" w:eastAsia="zh-CN"/>
                    </w:rPr>
                    <w:t>s</w:t>
                  </w:r>
                </w:p>
              </w:tc>
              <w:tc>
                <w:tcPr>
                  <w:tcW w:w="2565" w:type="dxa"/>
                  <w:vMerge w:val="restart"/>
                  <w:noWrap w:val="0"/>
                  <w:vAlign w:val="center"/>
                </w:tcPr>
                <w:p w14:paraId="5754191A">
                  <w:pPr>
                    <w:pStyle w:val="29"/>
                    <w:adjustRightInd w:val="0"/>
                    <w:snapToGrid w:val="0"/>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连续</w:t>
                  </w:r>
                  <w:r>
                    <w:rPr>
                      <w:rFonts w:hint="eastAsia" w:ascii="Times New Roman" w:hAnsi="Times New Roman" w:cs="Times New Roman"/>
                      <w:color w:val="auto"/>
                      <w:sz w:val="21"/>
                      <w:szCs w:val="21"/>
                      <w:lang w:val="en-US" w:eastAsia="zh-CN"/>
                    </w:rPr>
                    <w:t>检</w:t>
                  </w:r>
                  <w:r>
                    <w:rPr>
                      <w:rFonts w:hint="default" w:ascii="Times New Roman" w:hAnsi="Times New Roman" w:eastAsia="宋体" w:cs="Times New Roman"/>
                      <w:color w:val="auto"/>
                      <w:sz w:val="21"/>
                      <w:szCs w:val="21"/>
                      <w:lang w:val="en-US" w:eastAsia="zh-CN"/>
                    </w:rPr>
                    <w:t>测2天</w:t>
                  </w:r>
                </w:p>
                <w:p w14:paraId="1D49E246">
                  <w:pPr>
                    <w:pStyle w:val="29"/>
                    <w:adjustRightInd w:val="0"/>
                    <w:snapToGrid w:val="0"/>
                    <w:spacing w:before="0" w:beforeAutospacing="0" w:after="0" w:afterAutospacing="0" w:line="240" w:lineRule="auto"/>
                    <w:jc w:val="center"/>
                    <w:rPr>
                      <w:rFonts w:hint="default"/>
                    </w:rPr>
                  </w:pPr>
                  <w:r>
                    <w:rPr>
                      <w:rFonts w:hint="default" w:ascii="Times New Roman" w:hAnsi="Times New Roman" w:eastAsia="宋体" w:cs="Times New Roman"/>
                      <w:color w:val="auto"/>
                      <w:sz w:val="21"/>
                      <w:szCs w:val="21"/>
                      <w:lang w:val="en-US" w:eastAsia="zh-CN"/>
                    </w:rPr>
                    <w:t>每天采样3次</w:t>
                  </w:r>
                </w:p>
              </w:tc>
            </w:tr>
            <w:tr w14:paraId="797734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3053" w:type="dxa"/>
                  <w:shd w:val="clear" w:color="auto" w:fill="auto"/>
                  <w:noWrap w:val="0"/>
                  <w:vAlign w:val="center"/>
                </w:tcPr>
                <w:p w14:paraId="67CE037D">
                  <w:pPr>
                    <w:snapToGrid w:val="0"/>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2#燃油锅炉排气筒出口</w:t>
                  </w:r>
                </w:p>
              </w:tc>
              <w:tc>
                <w:tcPr>
                  <w:tcW w:w="2496" w:type="dxa"/>
                  <w:noWrap w:val="0"/>
                  <w:vAlign w:val="center"/>
                </w:tcPr>
                <w:p w14:paraId="23684C6B">
                  <w:pPr>
                    <w:pStyle w:val="29"/>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颗粒物、氮氧化物、二氧化硫、烟气黑度</w:t>
                  </w:r>
                </w:p>
              </w:tc>
              <w:tc>
                <w:tcPr>
                  <w:tcW w:w="2565" w:type="dxa"/>
                  <w:vMerge w:val="continue"/>
                  <w:noWrap w:val="0"/>
                  <w:vAlign w:val="center"/>
                </w:tcPr>
                <w:p w14:paraId="0BBC51B0">
                  <w:pPr>
                    <w:pStyle w:val="29"/>
                    <w:adjustRightInd w:val="0"/>
                    <w:snapToGrid w:val="0"/>
                    <w:spacing w:before="0" w:beforeAutospacing="0" w:after="0" w:afterAutospacing="0" w:line="240" w:lineRule="auto"/>
                    <w:jc w:val="center"/>
                    <w:rPr>
                      <w:rFonts w:hint="default" w:ascii="Times New Roman" w:hAnsi="Times New Roman" w:cs="Times New Roman"/>
                      <w:color w:val="auto"/>
                      <w:sz w:val="21"/>
                      <w:szCs w:val="21"/>
                      <w:lang w:val="en-US" w:eastAsia="zh-CN"/>
                    </w:rPr>
                  </w:pPr>
                </w:p>
              </w:tc>
            </w:tr>
          </w:tbl>
          <w:p w14:paraId="4BA8677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jc w:val="left"/>
              <w:textAlignment w:val="auto"/>
              <w:rPr>
                <w:rFonts w:hint="default"/>
                <w:sz w:val="24"/>
                <w:szCs w:val="24"/>
                <w:lang w:val="en-US" w:eastAsia="zh-CN"/>
              </w:rPr>
            </w:pPr>
            <w:r>
              <w:rPr>
                <w:rFonts w:hint="default"/>
                <w:sz w:val="24"/>
                <w:szCs w:val="24"/>
                <w:lang w:val="en-US" w:eastAsia="zh-CN"/>
              </w:rPr>
              <w:t>6.</w:t>
            </w:r>
            <w:r>
              <w:rPr>
                <w:rFonts w:hint="eastAsia"/>
                <w:sz w:val="24"/>
                <w:szCs w:val="24"/>
                <w:lang w:val="en-US" w:eastAsia="zh-CN"/>
              </w:rPr>
              <w:t>4</w:t>
            </w:r>
            <w:r>
              <w:rPr>
                <w:rFonts w:hint="default"/>
                <w:sz w:val="24"/>
                <w:szCs w:val="24"/>
                <w:lang w:val="en-US" w:eastAsia="zh-CN"/>
              </w:rPr>
              <w:t>噪声</w:t>
            </w:r>
          </w:p>
          <w:p w14:paraId="11A6746F">
            <w:pPr>
              <w:keepNext w:val="0"/>
              <w:keepLines w:val="0"/>
              <w:suppressLineNumbers w:val="0"/>
              <w:spacing w:before="0" w:beforeAutospacing="0" w:after="0" w:afterAutospacing="0" w:line="360" w:lineRule="auto"/>
              <w:ind w:left="0" w:right="0" w:firstLine="360" w:firstLineChars="150"/>
              <w:rPr>
                <w:rFonts w:hint="default"/>
                <w:sz w:val="24"/>
                <w:szCs w:val="24"/>
                <w:lang w:eastAsia="zh-CN"/>
              </w:rPr>
            </w:pPr>
            <w:r>
              <w:rPr>
                <w:rFonts w:hint="default"/>
                <w:sz w:val="24"/>
                <w:szCs w:val="24"/>
              </w:rPr>
              <w:t>本项目</w:t>
            </w:r>
            <w:r>
              <w:rPr>
                <w:rFonts w:hint="default"/>
                <w:sz w:val="24"/>
                <w:szCs w:val="24"/>
                <w:lang w:eastAsia="zh-CN"/>
              </w:rPr>
              <w:t>噪声监测内容见下表</w:t>
            </w:r>
            <w:r>
              <w:rPr>
                <w:rFonts w:hint="default"/>
                <w:sz w:val="24"/>
                <w:szCs w:val="24"/>
              </w:rPr>
              <w:t>6-</w:t>
            </w:r>
            <w:r>
              <w:rPr>
                <w:rFonts w:hint="eastAsia"/>
                <w:sz w:val="24"/>
                <w:szCs w:val="24"/>
                <w:lang w:val="en-US" w:eastAsia="zh-CN"/>
              </w:rPr>
              <w:t>4</w:t>
            </w:r>
            <w:r>
              <w:rPr>
                <w:rFonts w:hint="default"/>
                <w:sz w:val="24"/>
                <w:szCs w:val="24"/>
                <w:lang w:eastAsia="zh-CN"/>
              </w:rPr>
              <w:t>：</w:t>
            </w:r>
          </w:p>
          <w:p w14:paraId="6BD0623E">
            <w:pPr>
              <w:keepNext w:val="0"/>
              <w:keepLines w:val="0"/>
              <w:suppressLineNumbers w:val="0"/>
              <w:spacing w:before="0" w:beforeAutospacing="0" w:after="0" w:afterAutospacing="0" w:line="360" w:lineRule="auto"/>
              <w:ind w:left="0" w:right="0"/>
              <w:jc w:val="center"/>
              <w:rPr>
                <w:rFonts w:hint="default"/>
                <w:b/>
                <w:bCs/>
                <w:sz w:val="24"/>
                <w:szCs w:val="24"/>
              </w:rPr>
            </w:pPr>
            <w:r>
              <w:rPr>
                <w:rFonts w:hint="default"/>
                <w:b/>
                <w:bCs/>
                <w:sz w:val="24"/>
                <w:szCs w:val="24"/>
              </w:rPr>
              <w:t>表6-</w:t>
            </w:r>
            <w:r>
              <w:rPr>
                <w:rFonts w:hint="eastAsia"/>
                <w:b/>
                <w:bCs/>
                <w:sz w:val="24"/>
                <w:szCs w:val="24"/>
                <w:lang w:val="en-US" w:eastAsia="zh-CN"/>
              </w:rPr>
              <w:t>4</w:t>
            </w:r>
            <w:r>
              <w:rPr>
                <w:rFonts w:hint="default"/>
                <w:b/>
                <w:bCs/>
                <w:sz w:val="24"/>
                <w:szCs w:val="24"/>
              </w:rPr>
              <w:t>厂界环境噪声监测内容</w:t>
            </w:r>
          </w:p>
          <w:tbl>
            <w:tblPr>
              <w:tblStyle w:val="34"/>
              <w:tblW w:w="431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53"/>
              <w:gridCol w:w="2496"/>
              <w:gridCol w:w="2565"/>
            </w:tblGrid>
            <w:tr w14:paraId="4236C9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881" w:type="pct"/>
                  <w:noWrap w:val="0"/>
                  <w:vAlign w:val="center"/>
                </w:tcPr>
                <w:p w14:paraId="23A191EA">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监测点位</w:t>
                  </w:r>
                </w:p>
              </w:tc>
              <w:tc>
                <w:tcPr>
                  <w:tcW w:w="1538" w:type="pct"/>
                  <w:noWrap w:val="0"/>
                  <w:vAlign w:val="center"/>
                </w:tcPr>
                <w:p w14:paraId="5CC0A1BD">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监测因子</w:t>
                  </w:r>
                </w:p>
              </w:tc>
              <w:tc>
                <w:tcPr>
                  <w:tcW w:w="1580" w:type="pct"/>
                  <w:noWrap w:val="0"/>
                  <w:vAlign w:val="center"/>
                </w:tcPr>
                <w:p w14:paraId="2F1C50A0">
                  <w:pPr>
                    <w:keepNext w:val="0"/>
                    <w:keepLines w:val="0"/>
                    <w:suppressLineNumbers w:val="0"/>
                    <w:wordWrap w:val="0"/>
                    <w:topLinePunct/>
                    <w:spacing w:before="0" w:beforeAutospacing="0" w:after="0" w:afterAutospacing="0" w:line="300" w:lineRule="exact"/>
                    <w:ind w:left="0" w:right="0"/>
                    <w:jc w:val="center"/>
                    <w:rPr>
                      <w:rFonts w:hint="default"/>
                    </w:rPr>
                  </w:pPr>
                  <w:r>
                    <w:rPr>
                      <w:rFonts w:hint="default"/>
                    </w:rPr>
                    <w:t>监测频次及周期</w:t>
                  </w:r>
                </w:p>
              </w:tc>
            </w:tr>
            <w:tr w14:paraId="4F41EFF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3053" w:type="dxa"/>
                  <w:noWrap w:val="0"/>
                  <w:vAlign w:val="center"/>
                </w:tcPr>
                <w:p w14:paraId="5EE852BC">
                  <w:pPr>
                    <w:keepNext w:val="0"/>
                    <w:keepLines w:val="0"/>
                    <w:pageBreakBefore w:val="0"/>
                    <w:kinsoku/>
                    <w:wordWrap/>
                    <w:overflowPunct/>
                    <w:topLinePunct w:val="0"/>
                    <w:autoSpaceDE/>
                    <w:autoSpaceDN/>
                    <w:bidi w:val="0"/>
                    <w:snapToGrid w:val="0"/>
                    <w:spacing w:line="240" w:lineRule="auto"/>
                    <w:ind w:right="0" w:rightChars="0"/>
                    <w:jc w:val="center"/>
                    <w:textAlignment w:val="auto"/>
                    <w:outlineLvl w:val="9"/>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vertAlign w:val="baseline"/>
                      <w:lang w:val="en-US" w:eastAsia="zh-CN"/>
                    </w:rPr>
                    <w:t>#厂界</w:t>
                  </w:r>
                  <w:r>
                    <w:rPr>
                      <w:rFonts w:hint="eastAsia" w:ascii="Times New Roman" w:hAnsi="Times New Roman" w:eastAsia="宋体" w:cs="Times New Roman"/>
                      <w:color w:val="auto"/>
                      <w:sz w:val="21"/>
                      <w:szCs w:val="21"/>
                      <w:vertAlign w:val="baseline"/>
                      <w:lang w:val="en-US" w:eastAsia="zh-CN"/>
                    </w:rPr>
                    <w:t>东</w:t>
                  </w:r>
                  <w:r>
                    <w:rPr>
                      <w:rFonts w:hint="default" w:ascii="Times New Roman" w:hAnsi="Times New Roman" w:eastAsia="宋体" w:cs="Times New Roman"/>
                      <w:color w:val="auto"/>
                      <w:sz w:val="21"/>
                      <w:szCs w:val="21"/>
                      <w:vertAlign w:val="baseline"/>
                      <w:lang w:val="en-US" w:eastAsia="zh-CN"/>
                    </w:rPr>
                    <w:t>侧</w:t>
                  </w:r>
                  <w:r>
                    <w:rPr>
                      <w:rFonts w:hint="default" w:ascii="Times New Roman" w:hAnsi="Times New Roman" w:eastAsia="宋体" w:cs="Times New Roman"/>
                      <w:bCs/>
                      <w:color w:val="auto"/>
                      <w:sz w:val="21"/>
                      <w:szCs w:val="21"/>
                      <w:lang w:eastAsia="zh-CN"/>
                    </w:rPr>
                    <w:t>外</w:t>
                  </w:r>
                  <w:r>
                    <w:rPr>
                      <w:rFonts w:hint="default" w:ascii="Times New Roman" w:hAnsi="Times New Roman" w:eastAsia="宋体" w:cs="Times New Roman"/>
                      <w:bCs/>
                      <w:color w:val="auto"/>
                      <w:sz w:val="21"/>
                      <w:szCs w:val="21"/>
                      <w:lang w:val="en-US" w:eastAsia="zh-CN"/>
                    </w:rPr>
                    <w:t>1m处</w:t>
                  </w:r>
                </w:p>
                <w:p w14:paraId="3D76B2E3">
                  <w:pPr>
                    <w:keepNext w:val="0"/>
                    <w:keepLines w:val="0"/>
                    <w:pageBreakBefore w:val="0"/>
                    <w:kinsoku/>
                    <w:wordWrap/>
                    <w:overflowPunct/>
                    <w:topLinePunct w:val="0"/>
                    <w:autoSpaceDE/>
                    <w:autoSpaceDN/>
                    <w:bidi w:val="0"/>
                    <w:snapToGrid w:val="0"/>
                    <w:spacing w:line="240" w:lineRule="auto"/>
                    <w:ind w:right="0" w:rightChars="0"/>
                    <w:jc w:val="center"/>
                    <w:textAlignment w:val="auto"/>
                    <w:outlineLvl w:val="9"/>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vertAlign w:val="baseline"/>
                      <w:lang w:val="en-US" w:eastAsia="zh-CN"/>
                    </w:rPr>
                    <w:t>#厂界北侧</w:t>
                  </w:r>
                  <w:r>
                    <w:rPr>
                      <w:rFonts w:hint="default" w:ascii="Times New Roman" w:hAnsi="Times New Roman" w:eastAsia="宋体" w:cs="Times New Roman"/>
                      <w:bCs/>
                      <w:color w:val="auto"/>
                      <w:sz w:val="21"/>
                      <w:szCs w:val="21"/>
                      <w:lang w:eastAsia="zh-CN"/>
                    </w:rPr>
                    <w:t>外</w:t>
                  </w:r>
                  <w:r>
                    <w:rPr>
                      <w:rFonts w:hint="default" w:ascii="Times New Roman" w:hAnsi="Times New Roman" w:eastAsia="宋体" w:cs="Times New Roman"/>
                      <w:bCs/>
                      <w:color w:val="auto"/>
                      <w:sz w:val="21"/>
                      <w:szCs w:val="21"/>
                      <w:lang w:val="en-US" w:eastAsia="zh-CN"/>
                    </w:rPr>
                    <w:t>1m处</w:t>
                  </w:r>
                </w:p>
                <w:p w14:paraId="34C1CACF">
                  <w:pPr>
                    <w:snapToGrid w:val="0"/>
                    <w:spacing w:line="240" w:lineRule="auto"/>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3#厂界</w:t>
                  </w:r>
                  <w:r>
                    <w:rPr>
                      <w:rFonts w:hint="eastAsia" w:ascii="Times New Roman" w:hAnsi="Times New Roman" w:eastAsia="宋体" w:cs="Times New Roman"/>
                      <w:color w:val="auto"/>
                      <w:sz w:val="21"/>
                      <w:szCs w:val="21"/>
                      <w:vertAlign w:val="baseline"/>
                      <w:lang w:val="en-US" w:eastAsia="zh-CN"/>
                    </w:rPr>
                    <w:t>西</w:t>
                  </w:r>
                  <w:r>
                    <w:rPr>
                      <w:rFonts w:hint="default" w:ascii="Times New Roman" w:hAnsi="Times New Roman" w:eastAsia="宋体" w:cs="Times New Roman"/>
                      <w:color w:val="auto"/>
                      <w:sz w:val="21"/>
                      <w:szCs w:val="21"/>
                      <w:vertAlign w:val="baseline"/>
                      <w:lang w:val="en-US" w:eastAsia="zh-CN"/>
                    </w:rPr>
                    <w:t>侧</w:t>
                  </w:r>
                  <w:r>
                    <w:rPr>
                      <w:rFonts w:hint="default" w:ascii="Times New Roman" w:hAnsi="Times New Roman" w:eastAsia="宋体" w:cs="Times New Roman"/>
                      <w:bCs/>
                      <w:color w:val="auto"/>
                      <w:sz w:val="21"/>
                      <w:szCs w:val="21"/>
                      <w:lang w:eastAsia="zh-CN"/>
                    </w:rPr>
                    <w:t>外</w:t>
                  </w:r>
                  <w:r>
                    <w:rPr>
                      <w:rFonts w:hint="default" w:ascii="Times New Roman" w:hAnsi="Times New Roman" w:eastAsia="宋体" w:cs="Times New Roman"/>
                      <w:bCs/>
                      <w:color w:val="auto"/>
                      <w:sz w:val="21"/>
                      <w:szCs w:val="21"/>
                      <w:lang w:val="en-US" w:eastAsia="zh-CN"/>
                    </w:rPr>
                    <w:t>1m处</w:t>
                  </w:r>
                </w:p>
                <w:p w14:paraId="2FB1D48D">
                  <w:pPr>
                    <w:snapToGrid w:val="0"/>
                    <w:spacing w:line="240" w:lineRule="auto"/>
                    <w:jc w:val="center"/>
                    <w:rPr>
                      <w:rFonts w:hint="default"/>
                      <w:lang w:val="en-US" w:eastAsia="zh-CN"/>
                    </w:rPr>
                  </w:pPr>
                  <w:r>
                    <w:rPr>
                      <w:rFonts w:hint="default" w:ascii="Times New Roman" w:hAnsi="Times New Roman" w:eastAsia="宋体" w:cs="Times New Roman"/>
                      <w:color w:val="auto"/>
                      <w:sz w:val="21"/>
                      <w:szCs w:val="21"/>
                      <w:vertAlign w:val="baseline"/>
                      <w:lang w:val="en-US" w:eastAsia="zh-CN"/>
                    </w:rPr>
                    <w:t>4#厂界南侧</w:t>
                  </w:r>
                  <w:r>
                    <w:rPr>
                      <w:rFonts w:hint="default" w:ascii="Times New Roman" w:hAnsi="Times New Roman" w:eastAsia="宋体" w:cs="Times New Roman"/>
                      <w:bCs/>
                      <w:color w:val="auto"/>
                      <w:sz w:val="21"/>
                      <w:szCs w:val="21"/>
                      <w:lang w:eastAsia="zh-CN"/>
                    </w:rPr>
                    <w:t>外</w:t>
                  </w:r>
                  <w:r>
                    <w:rPr>
                      <w:rFonts w:hint="default" w:ascii="Times New Roman" w:hAnsi="Times New Roman" w:eastAsia="宋体" w:cs="Times New Roman"/>
                      <w:bCs/>
                      <w:color w:val="auto"/>
                      <w:sz w:val="21"/>
                      <w:szCs w:val="21"/>
                      <w:lang w:val="en-US" w:eastAsia="zh-CN"/>
                    </w:rPr>
                    <w:t>1m处</w:t>
                  </w:r>
                </w:p>
              </w:tc>
              <w:tc>
                <w:tcPr>
                  <w:tcW w:w="2496" w:type="dxa"/>
                  <w:noWrap w:val="0"/>
                  <w:vAlign w:val="center"/>
                </w:tcPr>
                <w:p w14:paraId="427523E9">
                  <w:pPr>
                    <w:pStyle w:val="29"/>
                    <w:adjustRightInd w:val="0"/>
                    <w:snapToGrid w:val="0"/>
                    <w:spacing w:line="240" w:lineRule="auto"/>
                    <w:jc w:val="center"/>
                    <w:rPr>
                      <w:rFonts w:hint="default"/>
                      <w:lang w:val="en-US" w:eastAsia="zh-CN"/>
                    </w:rPr>
                  </w:pPr>
                  <w:r>
                    <w:rPr>
                      <w:rFonts w:hint="default" w:ascii="Times New Roman" w:hAnsi="Times New Roman" w:eastAsia="宋体" w:cs="Times New Roman"/>
                      <w:color w:val="auto"/>
                      <w:sz w:val="21"/>
                      <w:szCs w:val="21"/>
                      <w:lang w:val="en-US" w:eastAsia="zh-CN"/>
                    </w:rPr>
                    <w:t>厂界噪声</w:t>
                  </w:r>
                </w:p>
              </w:tc>
              <w:tc>
                <w:tcPr>
                  <w:tcW w:w="2565" w:type="dxa"/>
                  <w:noWrap w:val="0"/>
                  <w:vAlign w:val="center"/>
                </w:tcPr>
                <w:p w14:paraId="2B43ADBC">
                  <w:pPr>
                    <w:pStyle w:val="29"/>
                    <w:adjustRightInd w:val="0"/>
                    <w:snapToGrid w:val="0"/>
                    <w:spacing w:before="0" w:beforeAutospacing="0" w:after="0" w:afterAutospacing="0" w:line="240" w:lineRule="auto"/>
                    <w:jc w:val="center"/>
                    <w:rPr>
                      <w:rFonts w:hint="default"/>
                    </w:rPr>
                  </w:pPr>
                  <w:r>
                    <w:rPr>
                      <w:rFonts w:hint="default" w:ascii="Times New Roman" w:hAnsi="Times New Roman" w:eastAsia="宋体" w:cs="Times New Roman"/>
                      <w:color w:val="auto"/>
                      <w:sz w:val="21"/>
                      <w:szCs w:val="21"/>
                      <w:lang w:val="en-US" w:eastAsia="zh-CN"/>
                    </w:rPr>
                    <w:t>连续</w:t>
                  </w:r>
                  <w:r>
                    <w:rPr>
                      <w:rFonts w:hint="eastAsia" w:ascii="Times New Roman" w:hAnsi="Times New Roman" w:cs="Times New Roman"/>
                      <w:color w:val="auto"/>
                      <w:sz w:val="21"/>
                      <w:szCs w:val="21"/>
                      <w:lang w:val="en-US" w:eastAsia="zh-CN"/>
                    </w:rPr>
                    <w:t>检</w:t>
                  </w:r>
                  <w:r>
                    <w:rPr>
                      <w:rFonts w:hint="default" w:ascii="Times New Roman" w:hAnsi="Times New Roman" w:eastAsia="宋体" w:cs="Times New Roman"/>
                      <w:color w:val="auto"/>
                      <w:sz w:val="21"/>
                      <w:szCs w:val="21"/>
                      <w:lang w:val="en-US" w:eastAsia="zh-CN"/>
                    </w:rPr>
                    <w:t>测2天，每天测定昼间时段一次的环境等效A声级</w:t>
                  </w:r>
                </w:p>
              </w:tc>
            </w:tr>
          </w:tbl>
          <w:p w14:paraId="7D975A8A">
            <w:pPr>
              <w:keepNext w:val="0"/>
              <w:keepLines w:val="0"/>
              <w:suppressLineNumbers w:val="0"/>
              <w:spacing w:before="0" w:beforeAutospacing="0" w:after="0" w:afterAutospacing="0" w:line="360" w:lineRule="auto"/>
              <w:ind w:left="0" w:right="0"/>
              <w:jc w:val="left"/>
              <w:rPr>
                <w:rFonts w:hint="default"/>
                <w:sz w:val="24"/>
                <w:szCs w:val="24"/>
                <w:lang w:val="en-US" w:eastAsia="zh-CN"/>
              </w:rPr>
            </w:pPr>
          </w:p>
          <w:p w14:paraId="4D890707">
            <w:pPr>
              <w:snapToGrid w:val="0"/>
              <w:jc w:val="both"/>
              <w:rPr>
                <w:rFonts w:hint="eastAsia"/>
                <w:lang w:val="en-US" w:eastAsia="zh-CN"/>
              </w:rPr>
            </w:pPr>
          </w:p>
          <w:p w14:paraId="302B63D1">
            <w:pPr>
              <w:snapToGrid w:val="0"/>
              <w:jc w:val="both"/>
              <w:rPr>
                <w:rFonts w:hint="eastAsia"/>
                <w:lang w:val="en-US" w:eastAsia="zh-CN"/>
              </w:rPr>
            </w:pPr>
          </w:p>
          <w:p w14:paraId="6B18CD41">
            <w:pPr>
              <w:snapToGrid w:val="0"/>
              <w:jc w:val="both"/>
              <w:rPr>
                <w:rFonts w:hint="eastAsia"/>
                <w:lang w:val="en-US" w:eastAsia="zh-CN"/>
              </w:rPr>
            </w:pPr>
          </w:p>
          <w:p w14:paraId="6455E028">
            <w:pPr>
              <w:snapToGrid w:val="0"/>
              <w:jc w:val="both"/>
              <w:rPr>
                <w:rFonts w:hint="eastAsia"/>
                <w:lang w:val="en-US" w:eastAsia="zh-CN"/>
              </w:rPr>
            </w:pPr>
          </w:p>
          <w:p w14:paraId="481EA762">
            <w:pPr>
              <w:snapToGrid w:val="0"/>
              <w:jc w:val="both"/>
              <w:rPr>
                <w:rFonts w:hint="eastAsia"/>
                <w:lang w:val="en-US" w:eastAsia="zh-CN"/>
              </w:rPr>
            </w:pPr>
          </w:p>
          <w:p w14:paraId="7D129EDE">
            <w:pPr>
              <w:snapToGrid w:val="0"/>
              <w:jc w:val="both"/>
              <w:rPr>
                <w:rFonts w:hint="eastAsia"/>
                <w:lang w:val="en-US" w:eastAsia="zh-CN"/>
              </w:rPr>
            </w:pPr>
          </w:p>
          <w:p w14:paraId="0E3C44CE">
            <w:pPr>
              <w:snapToGrid w:val="0"/>
              <w:jc w:val="both"/>
              <w:rPr>
                <w:rFonts w:hint="eastAsia"/>
                <w:lang w:val="en-US" w:eastAsia="zh-CN"/>
              </w:rPr>
            </w:pPr>
          </w:p>
          <w:p w14:paraId="43EE49F0">
            <w:pPr>
              <w:snapToGrid w:val="0"/>
              <w:jc w:val="both"/>
              <w:rPr>
                <w:rFonts w:hint="default"/>
                <w:lang w:val="en-US" w:eastAsia="zh-CN"/>
              </w:rPr>
            </w:pPr>
          </w:p>
          <w:p w14:paraId="427225F3">
            <w:pPr>
              <w:rPr>
                <w:rFonts w:hint="eastAsia"/>
                <w:lang w:eastAsia="zh-CN"/>
              </w:rPr>
            </w:pPr>
          </w:p>
        </w:tc>
      </w:tr>
    </w:tbl>
    <w:p w14:paraId="6A7341AF">
      <w:pPr>
        <w:pStyle w:val="3"/>
        <w:numPr>
          <w:ilvl w:val="0"/>
          <w:numId w:val="0"/>
        </w:numPr>
        <w:spacing w:before="120" w:after="120"/>
        <w:rPr>
          <w:rStyle w:val="43"/>
          <w:rFonts w:hint="default" w:ascii="Times New Roman" w:hAnsi="Times New Roman" w:cs="Times New Roman"/>
          <w:b/>
          <w:bCs/>
          <w:color w:val="0000FF"/>
        </w:rPr>
        <w:sectPr>
          <w:pgSz w:w="11906" w:h="16838"/>
          <w:pgMar w:top="1440" w:right="1080" w:bottom="1440" w:left="1080" w:header="850" w:footer="964" w:gutter="0"/>
          <w:pgBorders>
            <w:top w:val="none" w:sz="0" w:space="0"/>
            <w:left w:val="none" w:sz="0" w:space="0"/>
            <w:bottom w:val="none" w:sz="0" w:space="0"/>
            <w:right w:val="none" w:sz="0" w:space="0"/>
          </w:pgBorders>
          <w:pgNumType w:fmt="numberInDash"/>
          <w:cols w:space="720" w:num="1"/>
          <w:docGrid w:linePitch="360" w:charSpace="0"/>
        </w:sectPr>
      </w:pPr>
      <w:bookmarkStart w:id="33" w:name="_Toc11046_WPSOffice_Level1"/>
      <w:bookmarkStart w:id="34" w:name="_Toc19864"/>
      <w:bookmarkStart w:id="35" w:name="_Toc24993_WPSOffice_Level1"/>
      <w:bookmarkStart w:id="36" w:name="_Toc32584"/>
      <w:bookmarkStart w:id="37" w:name="_Toc17144"/>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6168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7" w:hRule="atLeast"/>
        </w:trPr>
        <w:tc>
          <w:tcPr>
            <w:tcW w:w="9962" w:type="dxa"/>
            <w:noWrap w:val="0"/>
            <w:vAlign w:val="top"/>
          </w:tcPr>
          <w:p w14:paraId="5B921891">
            <w:pPr>
              <w:keepNext w:val="0"/>
              <w:keepLines w:val="0"/>
              <w:suppressLineNumbers w:val="0"/>
              <w:spacing w:before="0" w:beforeAutospacing="0" w:after="0" w:afterAutospacing="0" w:line="360" w:lineRule="auto"/>
              <w:ind w:left="0" w:right="0"/>
              <w:jc w:val="left"/>
              <w:rPr>
                <w:rFonts w:hint="default"/>
                <w:sz w:val="24"/>
                <w:szCs w:val="24"/>
                <w:lang w:val="en-US" w:eastAsia="zh-CN"/>
              </w:rPr>
            </w:pPr>
            <w:r>
              <w:rPr>
                <w:rFonts w:hint="default"/>
                <w:sz w:val="24"/>
                <w:szCs w:val="24"/>
                <w:lang w:val="en-US" w:eastAsia="zh-CN"/>
              </w:rPr>
              <w:t>6.</w:t>
            </w:r>
            <w:r>
              <w:rPr>
                <w:rFonts w:hint="eastAsia"/>
                <w:sz w:val="24"/>
                <w:szCs w:val="24"/>
                <w:lang w:val="en-US" w:eastAsia="zh-CN"/>
              </w:rPr>
              <w:t>4验收检测布点图</w:t>
            </w:r>
          </w:p>
          <w:p w14:paraId="32CFDF92">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sz w:val="24"/>
                <w:szCs w:val="24"/>
                <w:lang w:val="en-US" w:eastAsia="zh-CN"/>
              </w:rPr>
            </w:pPr>
            <w:r>
              <w:rPr>
                <w:rFonts w:hint="default"/>
                <w:sz w:val="24"/>
                <w:szCs w:val="24"/>
                <w:lang w:val="en-US" w:eastAsia="zh-CN"/>
              </w:rPr>
              <w:t>本项目</w:t>
            </w:r>
            <w:r>
              <w:rPr>
                <w:rFonts w:hint="eastAsia"/>
                <w:sz w:val="24"/>
                <w:szCs w:val="24"/>
                <w:lang w:val="en-US" w:eastAsia="zh-CN"/>
              </w:rPr>
              <w:t>验收检测布点图</w:t>
            </w:r>
            <w:r>
              <w:rPr>
                <w:rFonts w:hint="default"/>
                <w:sz w:val="24"/>
                <w:szCs w:val="24"/>
                <w:lang w:val="en-US" w:eastAsia="zh-CN"/>
              </w:rPr>
              <w:t>见下</w:t>
            </w:r>
            <w:r>
              <w:rPr>
                <w:rFonts w:hint="eastAsia"/>
                <w:sz w:val="24"/>
                <w:szCs w:val="24"/>
                <w:lang w:val="en-US" w:eastAsia="zh-CN"/>
              </w:rPr>
              <w:t>图</w:t>
            </w:r>
            <w:r>
              <w:rPr>
                <w:rFonts w:hint="default"/>
                <w:sz w:val="24"/>
                <w:szCs w:val="24"/>
                <w:lang w:val="en-US" w:eastAsia="zh-CN"/>
              </w:rPr>
              <w:t>6-</w:t>
            </w:r>
            <w:r>
              <w:rPr>
                <w:rFonts w:hint="eastAsia"/>
                <w:sz w:val="24"/>
                <w:szCs w:val="24"/>
                <w:lang w:val="en-US" w:eastAsia="zh-CN"/>
              </w:rPr>
              <w:t>1。</w:t>
            </w:r>
          </w:p>
          <w:p w14:paraId="7C89AE2D">
            <w:pPr>
              <w:snapToGrid w:val="0"/>
              <w:jc w:val="center"/>
            </w:pPr>
          </w:p>
          <w:p w14:paraId="7AF4E1A8">
            <w:pPr>
              <w:snapToGrid w:val="0"/>
              <w:jc w:val="center"/>
            </w:pPr>
            <w:r>
              <w:drawing>
                <wp:inline distT="0" distB="0" distL="114300" distR="114300">
                  <wp:extent cx="6184900" cy="4032250"/>
                  <wp:effectExtent l="0" t="0" r="6350" b="6350"/>
                  <wp:docPr id="1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pic:cNvPicPr>
                            <a:picLocks noChangeAspect="1"/>
                          </pic:cNvPicPr>
                        </pic:nvPicPr>
                        <pic:blipFill>
                          <a:blip r:embed="rId37"/>
                          <a:stretch>
                            <a:fillRect/>
                          </a:stretch>
                        </pic:blipFill>
                        <pic:spPr>
                          <a:xfrm>
                            <a:off x="0" y="0"/>
                            <a:ext cx="6184900" cy="4032250"/>
                          </a:xfrm>
                          <a:prstGeom prst="rect">
                            <a:avLst/>
                          </a:prstGeom>
                          <a:noFill/>
                          <a:ln>
                            <a:noFill/>
                          </a:ln>
                        </pic:spPr>
                      </pic:pic>
                    </a:graphicData>
                  </a:graphic>
                </wp:inline>
              </w:drawing>
            </w:r>
          </w:p>
          <w:p w14:paraId="365D1AFA">
            <w:pPr>
              <w:snapToGrid w:val="0"/>
              <w:jc w:val="center"/>
              <w:rPr>
                <w:rFonts w:hint="eastAsia"/>
                <w:lang w:eastAsia="zh-CN"/>
              </w:rPr>
            </w:pPr>
          </w:p>
          <w:p w14:paraId="567BD3F4">
            <w:pPr>
              <w:pStyle w:val="3"/>
              <w:numPr>
                <w:ilvl w:val="0"/>
                <w:numId w:val="0"/>
              </w:numPr>
              <w:spacing w:before="120" w:after="120"/>
              <w:jc w:val="center"/>
              <w:rPr>
                <w:rStyle w:val="43"/>
                <w:rFonts w:hint="default" w:ascii="Times New Roman" w:hAnsi="Times New Roman" w:cs="Times New Roman"/>
                <w:b/>
                <w:bCs/>
                <w:color w:val="0000FF"/>
                <w:vertAlign w:val="baseline"/>
              </w:rPr>
            </w:pPr>
            <w:r>
              <w:rPr>
                <w:rFonts w:hint="default" w:ascii="Times New Roman" w:hAnsi="Times New Roman" w:eastAsia="宋体" w:cs="Times New Roman"/>
                <w:b/>
                <w:bCs/>
                <w:color w:val="auto"/>
                <w:sz w:val="21"/>
                <w:szCs w:val="21"/>
                <w:lang w:val="en-US" w:eastAsia="zh-CN"/>
              </w:rPr>
              <w:t>图6-1  验收</w:t>
            </w:r>
            <w:r>
              <w:rPr>
                <w:rFonts w:hint="eastAsia" w:ascii="Times New Roman" w:hAnsi="Times New Roman" w:eastAsia="宋体" w:cs="Times New Roman"/>
                <w:b/>
                <w:bCs/>
                <w:color w:val="auto"/>
                <w:sz w:val="21"/>
                <w:szCs w:val="21"/>
                <w:lang w:val="en-US" w:eastAsia="zh-CN"/>
              </w:rPr>
              <w:t>检测</w:t>
            </w:r>
            <w:r>
              <w:rPr>
                <w:rFonts w:hint="default" w:ascii="Times New Roman" w:hAnsi="Times New Roman" w:eastAsia="宋体" w:cs="Times New Roman"/>
                <w:b/>
                <w:bCs/>
                <w:color w:val="auto"/>
                <w:sz w:val="21"/>
                <w:szCs w:val="21"/>
                <w:lang w:val="en-US" w:eastAsia="zh-CN"/>
              </w:rPr>
              <w:t>布点图</w:t>
            </w:r>
          </w:p>
        </w:tc>
      </w:tr>
    </w:tbl>
    <w:p w14:paraId="48BEF530">
      <w:pPr>
        <w:pStyle w:val="3"/>
        <w:numPr>
          <w:ilvl w:val="0"/>
          <w:numId w:val="0"/>
        </w:numPr>
        <w:spacing w:before="120" w:after="120"/>
        <w:rPr>
          <w:rStyle w:val="43"/>
          <w:rFonts w:hint="default" w:ascii="Times New Roman" w:hAnsi="Times New Roman" w:cs="Times New Roman"/>
          <w:b/>
          <w:bCs/>
          <w:color w:val="0000FF"/>
        </w:rPr>
        <w:sectPr>
          <w:pgSz w:w="11906" w:h="16838"/>
          <w:pgMar w:top="1440" w:right="1080" w:bottom="1440" w:left="1080" w:header="850" w:footer="964" w:gutter="0"/>
          <w:pgBorders>
            <w:top w:val="none" w:sz="0" w:space="0"/>
            <w:left w:val="none" w:sz="0" w:space="0"/>
            <w:bottom w:val="none" w:sz="0" w:space="0"/>
            <w:right w:val="none" w:sz="0" w:space="0"/>
          </w:pgBorders>
          <w:pgNumType w:fmt="numberInDash"/>
          <w:cols w:space="720" w:num="1"/>
          <w:docGrid w:linePitch="360" w:charSpace="0"/>
        </w:sectPr>
      </w:pPr>
    </w:p>
    <w:p w14:paraId="677999EC">
      <w:pPr>
        <w:pStyle w:val="3"/>
        <w:numPr>
          <w:ilvl w:val="0"/>
          <w:numId w:val="0"/>
        </w:numPr>
        <w:spacing w:before="120" w:after="120"/>
        <w:rPr>
          <w:rStyle w:val="43"/>
          <w:rFonts w:hint="default" w:ascii="Times New Roman" w:hAnsi="Times New Roman" w:cs="Times New Roman"/>
          <w:b/>
          <w:bCs/>
          <w:color w:val="auto"/>
        </w:rPr>
      </w:pPr>
      <w:r>
        <w:rPr>
          <w:rStyle w:val="43"/>
          <w:rFonts w:hint="default" w:ascii="Times New Roman" w:hAnsi="Times New Roman" w:cs="Times New Roman"/>
          <w:b/>
          <w:bCs/>
          <w:color w:val="auto"/>
        </w:rPr>
        <w:t>表七  验收</w:t>
      </w:r>
      <w:r>
        <w:rPr>
          <w:rStyle w:val="43"/>
          <w:rFonts w:hint="eastAsia" w:ascii="Times New Roman" w:hAnsi="Times New Roman" w:eastAsia="宋体" w:cs="Times New Roman"/>
          <w:b/>
          <w:bCs/>
          <w:color w:val="auto"/>
          <w:lang w:eastAsia="zh-CN"/>
        </w:rPr>
        <w:t>检测</w:t>
      </w:r>
      <w:r>
        <w:rPr>
          <w:rStyle w:val="43"/>
          <w:rFonts w:hint="default" w:ascii="Times New Roman" w:hAnsi="Times New Roman" w:cs="Times New Roman"/>
          <w:b/>
          <w:bCs/>
          <w:color w:val="auto"/>
        </w:rPr>
        <w:t>期间生产工况记录及验收</w:t>
      </w:r>
      <w:r>
        <w:rPr>
          <w:rStyle w:val="43"/>
          <w:rFonts w:hint="eastAsia" w:ascii="Times New Roman" w:hAnsi="Times New Roman" w:eastAsia="宋体" w:cs="Times New Roman"/>
          <w:b/>
          <w:bCs/>
          <w:color w:val="auto"/>
          <w:lang w:eastAsia="zh-CN"/>
        </w:rPr>
        <w:t>检测</w:t>
      </w:r>
      <w:r>
        <w:rPr>
          <w:rStyle w:val="43"/>
          <w:rFonts w:hint="default" w:ascii="Times New Roman" w:hAnsi="Times New Roman" w:cs="Times New Roman"/>
          <w:b/>
          <w:bCs/>
          <w:color w:val="auto"/>
        </w:rPr>
        <w:t>结果</w:t>
      </w:r>
      <w:bookmarkEnd w:id="33"/>
      <w:bookmarkEnd w:id="34"/>
      <w:bookmarkEnd w:id="35"/>
      <w:bookmarkEnd w:id="36"/>
      <w:bookmarkEnd w:id="37"/>
    </w:p>
    <w:tbl>
      <w:tblPr>
        <w:tblStyle w:val="33"/>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6"/>
      </w:tblGrid>
      <w:tr w14:paraId="1AB3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3" w:hRule="atLeast"/>
          <w:jc w:val="center"/>
        </w:trPr>
        <w:tc>
          <w:tcPr>
            <w:tcW w:w="9736" w:type="dxa"/>
            <w:noWrap w:val="0"/>
            <w:vAlign w:val="top"/>
          </w:tcPr>
          <w:p w14:paraId="5583EFE6">
            <w:pPr>
              <w:spacing w:line="360" w:lineRule="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 xml:space="preserve">1. </w:t>
            </w:r>
            <w:r>
              <w:rPr>
                <w:rFonts w:hint="default" w:ascii="Times New Roman" w:hAnsi="Times New Roman" w:cs="Times New Roman"/>
                <w:b/>
                <w:bCs/>
                <w:color w:val="auto"/>
                <w:sz w:val="24"/>
                <w:szCs w:val="24"/>
              </w:rPr>
              <w:t>验收</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期间生产工况记录：</w:t>
            </w:r>
          </w:p>
          <w:p w14:paraId="7B9FA1AE">
            <w:pPr>
              <w:spacing w:line="360" w:lineRule="auto"/>
              <w:ind w:firstLine="480"/>
              <w:rPr>
                <w:rFonts w:hint="default" w:ascii="Times New Roman" w:hAnsi="Times New Roman" w:eastAsia="宋体" w:cs="Times New Roman"/>
                <w:color w:val="auto"/>
                <w:sz w:val="24"/>
                <w:szCs w:val="24"/>
                <w:highlight w:val="none"/>
                <w:lang w:val="en-US" w:eastAsia="zh-CN"/>
              </w:rPr>
            </w:pPr>
            <w:bookmarkStart w:id="38" w:name="_Toc3787"/>
            <w:bookmarkStart w:id="39" w:name="_Toc20286"/>
            <w:bookmarkStart w:id="40" w:name="_Toc7314"/>
            <w:bookmarkStart w:id="41" w:name="_Toc30386"/>
            <w:bookmarkStart w:id="42" w:name="_Toc28525"/>
            <w:bookmarkStart w:id="43" w:name="_Toc19393"/>
            <w:r>
              <w:rPr>
                <w:rFonts w:hint="default" w:ascii="Times New Roman" w:hAnsi="Times New Roman" w:eastAsia="宋体" w:cs="Times New Roman"/>
                <w:color w:val="auto"/>
                <w:sz w:val="24"/>
                <w:szCs w:val="24"/>
                <w:highlight w:val="none"/>
              </w:rPr>
              <w:t>本项目</w:t>
            </w:r>
            <w:r>
              <w:rPr>
                <w:rFonts w:hint="eastAsia" w:ascii="Times New Roman" w:hAnsi="Times New Roman" w:eastAsia="宋体" w:cs="Times New Roman"/>
                <w:color w:val="auto"/>
                <w:sz w:val="24"/>
                <w:szCs w:val="24"/>
                <w:highlight w:val="none"/>
                <w:lang w:val="en-US" w:eastAsia="zh-CN"/>
              </w:rPr>
              <w:t>设计</w:t>
            </w:r>
            <w:r>
              <w:rPr>
                <w:rFonts w:hint="default" w:ascii="Times New Roman" w:hAnsi="Times New Roman" w:eastAsia="宋体" w:cs="Times New Roman"/>
                <w:color w:val="auto"/>
                <w:sz w:val="24"/>
                <w:szCs w:val="24"/>
                <w:highlight w:val="none"/>
              </w:rPr>
              <w:t>生产规模为</w:t>
            </w:r>
            <w:r>
              <w:rPr>
                <w:rFonts w:hint="eastAsia" w:ascii="Times New Roman" w:hAnsi="Times New Roman" w:eastAsia="宋体" w:cs="Times New Roman"/>
                <w:color w:val="auto"/>
                <w:sz w:val="24"/>
                <w:szCs w:val="24"/>
                <w:highlight w:val="none"/>
                <w:lang w:val="en-US" w:eastAsia="zh-CN"/>
              </w:rPr>
              <w:t>日处理餐厨垃圾20吨</w:t>
            </w:r>
            <w:r>
              <w:rPr>
                <w:rFonts w:hint="default" w:ascii="Times New Roman" w:hAnsi="Times New Roman" w:eastAsia="宋体" w:cs="Times New Roman"/>
                <w:color w:val="auto"/>
                <w:sz w:val="24"/>
                <w:szCs w:val="24"/>
                <w:highlight w:val="none"/>
                <w:lang w:val="en-US" w:eastAsia="zh-CN"/>
              </w:rPr>
              <w:t>。验收</w:t>
            </w:r>
            <w:r>
              <w:rPr>
                <w:rFonts w:hint="eastAsia" w:ascii="Times New Roman" w:hAnsi="Times New Roman" w:eastAsia="宋体" w:cs="Times New Roman"/>
                <w:color w:val="auto"/>
                <w:sz w:val="24"/>
                <w:szCs w:val="24"/>
                <w:highlight w:val="none"/>
                <w:lang w:val="en-US" w:eastAsia="zh-CN"/>
              </w:rPr>
              <w:t>检测</w:t>
            </w:r>
            <w:r>
              <w:rPr>
                <w:rFonts w:hint="default" w:ascii="Times New Roman" w:hAnsi="Times New Roman" w:eastAsia="宋体" w:cs="Times New Roman"/>
                <w:color w:val="auto"/>
                <w:sz w:val="24"/>
                <w:szCs w:val="24"/>
                <w:highlight w:val="none"/>
                <w:lang w:val="en-US" w:eastAsia="zh-CN"/>
              </w:rPr>
              <w:t>期间</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日处理餐厨垃圾</w:t>
            </w:r>
            <w:r>
              <w:rPr>
                <w:rFonts w:hint="eastAsia" w:ascii="Times New Roman" w:hAnsi="Times New Roman" w:cs="Times New Roman"/>
                <w:color w:val="auto"/>
                <w:sz w:val="24"/>
                <w:szCs w:val="24"/>
                <w:highlight w:val="none"/>
                <w:lang w:val="en-US" w:eastAsia="zh-CN"/>
              </w:rPr>
              <w:t>11.8</w:t>
            </w:r>
            <w:r>
              <w:rPr>
                <w:rFonts w:hint="eastAsia" w:ascii="Times New Roman" w:hAnsi="Times New Roman" w:eastAsia="宋体" w:cs="Times New Roman"/>
                <w:color w:val="auto"/>
                <w:sz w:val="24"/>
                <w:szCs w:val="24"/>
                <w:highlight w:val="none"/>
                <w:lang w:val="en-US" w:eastAsia="zh-CN"/>
              </w:rPr>
              <w:t>吨；</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日处理餐厨垃圾</w:t>
            </w:r>
            <w:r>
              <w:rPr>
                <w:rFonts w:hint="eastAsia" w:ascii="Times New Roman" w:hAnsi="Times New Roman" w:cs="Times New Roman"/>
                <w:color w:val="auto"/>
                <w:sz w:val="24"/>
                <w:szCs w:val="24"/>
                <w:highlight w:val="none"/>
                <w:lang w:val="en-US" w:eastAsia="zh-CN"/>
              </w:rPr>
              <w:t>11.4</w:t>
            </w:r>
            <w:r>
              <w:rPr>
                <w:rFonts w:hint="eastAsia" w:ascii="Times New Roman" w:hAnsi="Times New Roman" w:eastAsia="宋体" w:cs="Times New Roman"/>
                <w:color w:val="auto"/>
                <w:sz w:val="24"/>
                <w:szCs w:val="24"/>
                <w:highlight w:val="none"/>
                <w:lang w:val="en-US" w:eastAsia="zh-CN"/>
              </w:rPr>
              <w:t>吨</w:t>
            </w:r>
            <w:r>
              <w:rPr>
                <w:rFonts w:hint="default" w:ascii="Times New Roman" w:hAnsi="Times New Roman" w:eastAsia="宋体" w:cs="Times New Roman"/>
                <w:color w:val="auto"/>
                <w:sz w:val="24"/>
                <w:szCs w:val="24"/>
                <w:highlight w:val="none"/>
                <w:lang w:val="en-US" w:eastAsia="zh-CN"/>
              </w:rPr>
              <w:t>。验收</w:t>
            </w:r>
            <w:r>
              <w:rPr>
                <w:rFonts w:hint="eastAsia" w:ascii="Times New Roman" w:hAnsi="Times New Roman" w:eastAsia="宋体" w:cs="Times New Roman"/>
                <w:color w:val="auto"/>
                <w:sz w:val="24"/>
                <w:szCs w:val="24"/>
                <w:highlight w:val="none"/>
                <w:lang w:val="en-US" w:eastAsia="zh-CN"/>
              </w:rPr>
              <w:t>检测</w:t>
            </w:r>
            <w:r>
              <w:rPr>
                <w:rFonts w:hint="default" w:ascii="Times New Roman" w:hAnsi="Times New Roman" w:eastAsia="宋体" w:cs="Times New Roman"/>
                <w:color w:val="auto"/>
                <w:sz w:val="24"/>
                <w:szCs w:val="24"/>
                <w:highlight w:val="none"/>
                <w:lang w:val="en-US" w:eastAsia="zh-CN"/>
              </w:rPr>
              <w:t>期间生产负荷情况见下表：</w:t>
            </w:r>
          </w:p>
          <w:p w14:paraId="3A4449B9">
            <w:pPr>
              <w:spacing w:line="240" w:lineRule="auto"/>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表7-1  验收</w:t>
            </w:r>
            <w:r>
              <w:rPr>
                <w:rFonts w:hint="eastAsia" w:ascii="Times New Roman" w:hAnsi="Times New Roman" w:cs="Times New Roman"/>
                <w:b/>
                <w:bCs/>
                <w:color w:val="auto"/>
                <w:sz w:val="24"/>
                <w:szCs w:val="24"/>
                <w:lang w:val="en-US" w:eastAsia="zh-CN"/>
              </w:rPr>
              <w:t>检测</w:t>
            </w:r>
            <w:r>
              <w:rPr>
                <w:rFonts w:hint="default" w:ascii="Times New Roman" w:hAnsi="Times New Roman" w:cs="Times New Roman"/>
                <w:b/>
                <w:bCs/>
                <w:color w:val="auto"/>
                <w:sz w:val="24"/>
                <w:szCs w:val="24"/>
                <w:lang w:val="en-US" w:eastAsia="zh-CN"/>
              </w:rPr>
              <w:t>期间生产负荷表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186"/>
              <w:gridCol w:w="1381"/>
              <w:gridCol w:w="2071"/>
              <w:gridCol w:w="2071"/>
              <w:gridCol w:w="2071"/>
            </w:tblGrid>
            <w:tr w14:paraId="36D4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26" w:type="dxa"/>
                  <w:noWrap w:val="0"/>
                  <w:vAlign w:val="center"/>
                </w:tcPr>
                <w:p w14:paraId="2FFF43C6">
                  <w:pPr>
                    <w:jc w:val="center"/>
                    <w:rPr>
                      <w:rFonts w:hint="default" w:ascii="Times New Roman" w:hAnsi="Times New Roman" w:cs="Times New Roman"/>
                      <w:color w:val="auto"/>
                      <w:spacing w:val="2"/>
                      <w:highlight w:val="none"/>
                    </w:rPr>
                  </w:pPr>
                  <w:r>
                    <w:rPr>
                      <w:rFonts w:hint="default" w:ascii="Times New Roman" w:hAnsi="Times New Roman" w:cs="Times New Roman"/>
                      <w:color w:val="auto"/>
                      <w:spacing w:val="2"/>
                      <w:highlight w:val="none"/>
                    </w:rPr>
                    <w:t>序号</w:t>
                  </w:r>
                </w:p>
              </w:tc>
              <w:tc>
                <w:tcPr>
                  <w:tcW w:w="1186" w:type="dxa"/>
                  <w:noWrap w:val="0"/>
                  <w:vAlign w:val="center"/>
                </w:tcPr>
                <w:p w14:paraId="01A45737">
                  <w:pPr>
                    <w:jc w:val="center"/>
                    <w:rPr>
                      <w:rFonts w:hint="default" w:ascii="Times New Roman" w:hAnsi="Times New Roman" w:cs="Times New Roman"/>
                      <w:color w:val="auto"/>
                      <w:spacing w:val="2"/>
                      <w:highlight w:val="none"/>
                    </w:rPr>
                  </w:pPr>
                  <w:r>
                    <w:rPr>
                      <w:rFonts w:hint="eastAsia" w:ascii="Times New Roman" w:hAnsi="Times New Roman" w:cs="Times New Roman"/>
                      <w:color w:val="auto"/>
                      <w:spacing w:val="2"/>
                      <w:highlight w:val="none"/>
                      <w:lang w:val="en-US" w:eastAsia="zh-CN"/>
                    </w:rPr>
                    <w:t>产品</w:t>
                  </w:r>
                  <w:r>
                    <w:rPr>
                      <w:rFonts w:hint="default" w:ascii="Times New Roman" w:hAnsi="Times New Roman" w:cs="Times New Roman"/>
                      <w:color w:val="auto"/>
                      <w:spacing w:val="2"/>
                      <w:highlight w:val="none"/>
                    </w:rPr>
                    <w:t>名称</w:t>
                  </w:r>
                </w:p>
              </w:tc>
              <w:tc>
                <w:tcPr>
                  <w:tcW w:w="1381" w:type="dxa"/>
                  <w:noWrap w:val="0"/>
                  <w:vAlign w:val="center"/>
                </w:tcPr>
                <w:p w14:paraId="32FD41CB">
                  <w:pPr>
                    <w:jc w:val="center"/>
                    <w:rPr>
                      <w:rFonts w:hint="default" w:ascii="Times New Roman" w:hAnsi="Times New Roman" w:cs="Times New Roman"/>
                      <w:color w:val="auto"/>
                      <w:spacing w:val="2"/>
                      <w:highlight w:val="none"/>
                    </w:rPr>
                  </w:pPr>
                  <w:r>
                    <w:rPr>
                      <w:rFonts w:hint="eastAsia" w:ascii="Times New Roman" w:hAnsi="Times New Roman" w:cs="Times New Roman"/>
                      <w:color w:val="auto"/>
                      <w:spacing w:val="2"/>
                      <w:highlight w:val="none"/>
                      <w:lang w:val="en-US" w:eastAsia="zh-CN"/>
                    </w:rPr>
                    <w:t>检测</w:t>
                  </w:r>
                  <w:r>
                    <w:rPr>
                      <w:rFonts w:hint="default" w:ascii="Times New Roman" w:hAnsi="Times New Roman" w:cs="Times New Roman"/>
                      <w:color w:val="auto"/>
                      <w:spacing w:val="2"/>
                      <w:highlight w:val="none"/>
                    </w:rPr>
                    <w:t>日期</w:t>
                  </w:r>
                </w:p>
              </w:tc>
              <w:tc>
                <w:tcPr>
                  <w:tcW w:w="2071" w:type="dxa"/>
                  <w:noWrap w:val="0"/>
                  <w:vAlign w:val="center"/>
                </w:tcPr>
                <w:p w14:paraId="30E3F40A">
                  <w:pPr>
                    <w:rPr>
                      <w:rFonts w:hint="default" w:ascii="Times New Roman" w:hAnsi="Times New Roman" w:cs="Times New Roman"/>
                      <w:color w:val="auto"/>
                      <w:spacing w:val="2"/>
                      <w:highlight w:val="none"/>
                    </w:rPr>
                  </w:pPr>
                  <w:r>
                    <w:rPr>
                      <w:rFonts w:hint="default" w:ascii="Times New Roman" w:hAnsi="Times New Roman" w:cs="Times New Roman"/>
                      <w:color w:val="auto"/>
                      <w:spacing w:val="2"/>
                      <w:highlight w:val="none"/>
                    </w:rPr>
                    <w:t>设计日产能力（</w:t>
                  </w:r>
                  <w:r>
                    <w:rPr>
                      <w:rFonts w:hint="eastAsia" w:ascii="Times New Roman" w:hAnsi="Times New Roman" w:cs="Times New Roman"/>
                      <w:color w:val="auto"/>
                      <w:spacing w:val="2"/>
                      <w:highlight w:val="none"/>
                      <w:lang w:val="en-US" w:eastAsia="zh-CN"/>
                    </w:rPr>
                    <w:t>t</w:t>
                  </w:r>
                  <w:r>
                    <w:rPr>
                      <w:rFonts w:hint="default" w:ascii="Times New Roman" w:hAnsi="Times New Roman" w:cs="Times New Roman"/>
                      <w:color w:val="auto"/>
                      <w:spacing w:val="2"/>
                      <w:highlight w:val="none"/>
                    </w:rPr>
                    <w:t>）</w:t>
                  </w:r>
                </w:p>
              </w:tc>
              <w:tc>
                <w:tcPr>
                  <w:tcW w:w="2071" w:type="dxa"/>
                  <w:noWrap w:val="0"/>
                  <w:vAlign w:val="center"/>
                </w:tcPr>
                <w:p w14:paraId="72320D57">
                  <w:pPr>
                    <w:rPr>
                      <w:rFonts w:hint="default" w:ascii="Times New Roman" w:hAnsi="Times New Roman" w:cs="Times New Roman"/>
                      <w:color w:val="auto"/>
                      <w:spacing w:val="2"/>
                      <w:highlight w:val="none"/>
                    </w:rPr>
                  </w:pPr>
                  <w:r>
                    <w:rPr>
                      <w:rFonts w:hint="default" w:ascii="Times New Roman" w:hAnsi="Times New Roman" w:cs="Times New Roman"/>
                      <w:color w:val="auto"/>
                      <w:spacing w:val="2"/>
                      <w:highlight w:val="none"/>
                    </w:rPr>
                    <w:t>实际日产能力（</w:t>
                  </w:r>
                  <w:r>
                    <w:rPr>
                      <w:rFonts w:hint="eastAsia" w:ascii="Times New Roman" w:hAnsi="Times New Roman" w:cs="Times New Roman"/>
                      <w:color w:val="auto"/>
                      <w:spacing w:val="2"/>
                      <w:highlight w:val="none"/>
                      <w:lang w:val="en-US" w:eastAsia="zh-CN"/>
                    </w:rPr>
                    <w:t>t</w:t>
                  </w:r>
                  <w:r>
                    <w:rPr>
                      <w:rFonts w:hint="default" w:ascii="Times New Roman" w:hAnsi="Times New Roman" w:cs="Times New Roman"/>
                      <w:color w:val="auto"/>
                      <w:spacing w:val="2"/>
                      <w:highlight w:val="none"/>
                    </w:rPr>
                    <w:t>）</w:t>
                  </w:r>
                </w:p>
              </w:tc>
              <w:tc>
                <w:tcPr>
                  <w:tcW w:w="2071" w:type="dxa"/>
                  <w:noWrap w:val="0"/>
                  <w:vAlign w:val="center"/>
                </w:tcPr>
                <w:p w14:paraId="58EF2541">
                  <w:pPr>
                    <w:jc w:val="center"/>
                    <w:rPr>
                      <w:rFonts w:hint="eastAsia" w:ascii="Times New Roman" w:hAnsi="Times New Roman" w:eastAsia="宋体" w:cs="Times New Roman"/>
                      <w:color w:val="auto"/>
                      <w:spacing w:val="2"/>
                      <w:highlight w:val="none"/>
                      <w:lang w:eastAsia="zh-CN"/>
                    </w:rPr>
                  </w:pPr>
                  <w:r>
                    <w:rPr>
                      <w:rFonts w:hint="eastAsia" w:cs="Times New Roman"/>
                      <w:color w:val="auto"/>
                      <w:spacing w:val="2"/>
                      <w:highlight w:val="none"/>
                      <w:lang w:eastAsia="zh-CN"/>
                    </w:rPr>
                    <w:t>负荷</w:t>
                  </w:r>
                </w:p>
              </w:tc>
            </w:tr>
            <w:tr w14:paraId="7848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6" w:type="dxa"/>
                  <w:vMerge w:val="restart"/>
                  <w:noWrap w:val="0"/>
                  <w:vAlign w:val="center"/>
                </w:tcPr>
                <w:p w14:paraId="4519A4D8">
                  <w:pPr>
                    <w:jc w:val="center"/>
                    <w:rPr>
                      <w:rFonts w:hint="default" w:ascii="Times New Roman" w:hAnsi="Times New Roman" w:cs="Times New Roman"/>
                      <w:color w:val="auto"/>
                      <w:spacing w:val="2"/>
                      <w:highlight w:val="none"/>
                    </w:rPr>
                  </w:pPr>
                  <w:r>
                    <w:rPr>
                      <w:rFonts w:hint="default" w:ascii="Times New Roman" w:hAnsi="Times New Roman" w:cs="Times New Roman"/>
                      <w:color w:val="auto"/>
                      <w:spacing w:val="2"/>
                      <w:highlight w:val="none"/>
                    </w:rPr>
                    <w:t>1</w:t>
                  </w:r>
                </w:p>
              </w:tc>
              <w:tc>
                <w:tcPr>
                  <w:tcW w:w="1186" w:type="dxa"/>
                  <w:vMerge w:val="restart"/>
                  <w:noWrap w:val="0"/>
                  <w:vAlign w:val="center"/>
                </w:tcPr>
                <w:p w14:paraId="71D47759">
                  <w:pPr>
                    <w:jc w:val="center"/>
                    <w:rPr>
                      <w:rFonts w:hint="eastAsia" w:ascii="Times New Roman" w:hAnsi="Times New Roman" w:eastAsia="宋体" w:cs="Times New Roman"/>
                      <w:color w:val="auto"/>
                      <w:spacing w:val="2"/>
                      <w:highlight w:val="none"/>
                      <w:lang w:eastAsia="zh-CN"/>
                    </w:rPr>
                  </w:pPr>
                  <w:r>
                    <w:rPr>
                      <w:rFonts w:hint="eastAsia" w:ascii="Times New Roman" w:hAnsi="Times New Roman" w:eastAsia="宋体" w:cs="Times New Roman"/>
                      <w:color w:val="auto"/>
                      <w:sz w:val="24"/>
                      <w:szCs w:val="24"/>
                      <w:highlight w:val="none"/>
                      <w:lang w:val="en-US" w:eastAsia="zh-CN"/>
                    </w:rPr>
                    <w:t>处理餐厨垃圾</w:t>
                  </w:r>
                </w:p>
              </w:tc>
              <w:tc>
                <w:tcPr>
                  <w:tcW w:w="1381" w:type="dxa"/>
                  <w:noWrap w:val="0"/>
                  <w:vAlign w:val="center"/>
                </w:tcPr>
                <w:p w14:paraId="206D2BD0">
                  <w:pPr>
                    <w:jc w:val="center"/>
                    <w:rPr>
                      <w:rFonts w:hint="default" w:ascii="Times New Roman" w:hAnsi="Times New Roman" w:cs="Times New Roman"/>
                      <w:color w:val="auto"/>
                      <w:spacing w:val="2"/>
                      <w:highlight w:val="none"/>
                    </w:rPr>
                  </w:pP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spacing w:val="2"/>
                      <w:highlight w:val="none"/>
                    </w:rPr>
                    <w:t>月</w:t>
                  </w:r>
                  <w:r>
                    <w:rPr>
                      <w:rFonts w:hint="eastAsia" w:ascii="Times New Roman" w:hAnsi="Times New Roman" w:cs="Times New Roman"/>
                      <w:color w:val="auto"/>
                      <w:spacing w:val="2"/>
                      <w:highlight w:val="none"/>
                      <w:lang w:val="en-US" w:eastAsia="zh-CN"/>
                    </w:rPr>
                    <w:t>1</w:t>
                  </w:r>
                  <w:r>
                    <w:rPr>
                      <w:rFonts w:hint="default" w:ascii="Times New Roman" w:hAnsi="Times New Roman" w:cs="Times New Roman"/>
                      <w:color w:val="auto"/>
                      <w:spacing w:val="2"/>
                      <w:highlight w:val="none"/>
                    </w:rPr>
                    <w:t>日</w:t>
                  </w:r>
                </w:p>
              </w:tc>
              <w:tc>
                <w:tcPr>
                  <w:tcW w:w="2071" w:type="dxa"/>
                  <w:vMerge w:val="restart"/>
                  <w:noWrap w:val="0"/>
                  <w:vAlign w:val="center"/>
                </w:tcPr>
                <w:p w14:paraId="09AAE94B">
                  <w:pPr>
                    <w:jc w:val="center"/>
                    <w:rPr>
                      <w:rFonts w:hint="default" w:ascii="Times New Roman" w:hAnsi="Times New Roman" w:eastAsia="宋体" w:cs="Times New Roman"/>
                      <w:color w:val="auto"/>
                      <w:spacing w:val="2"/>
                      <w:highlight w:val="none"/>
                      <w:lang w:val="en-US" w:eastAsia="zh-CN"/>
                    </w:rPr>
                  </w:pPr>
                  <w:r>
                    <w:rPr>
                      <w:rFonts w:hint="eastAsia" w:ascii="Times New Roman" w:hAnsi="Times New Roman" w:cs="Times New Roman"/>
                      <w:color w:val="auto"/>
                      <w:spacing w:val="2"/>
                      <w:highlight w:val="none"/>
                      <w:lang w:val="en-US" w:eastAsia="zh-CN"/>
                    </w:rPr>
                    <w:t>20</w:t>
                  </w:r>
                </w:p>
              </w:tc>
              <w:tc>
                <w:tcPr>
                  <w:tcW w:w="2071" w:type="dxa"/>
                  <w:noWrap w:val="0"/>
                  <w:vAlign w:val="center"/>
                </w:tcPr>
                <w:p w14:paraId="74C85782">
                  <w:pPr>
                    <w:jc w:val="center"/>
                    <w:rPr>
                      <w:rFonts w:hint="default" w:ascii="Times New Roman" w:hAnsi="Times New Roman" w:eastAsia="宋体" w:cs="Times New Roman"/>
                      <w:color w:val="auto"/>
                      <w:spacing w:val="2"/>
                      <w:highlight w:val="none"/>
                      <w:lang w:val="en-US" w:eastAsia="zh-CN"/>
                    </w:rPr>
                  </w:pPr>
                  <w:r>
                    <w:rPr>
                      <w:rFonts w:hint="eastAsia" w:ascii="Times New Roman" w:hAnsi="Times New Roman" w:cs="Times New Roman"/>
                      <w:color w:val="auto"/>
                      <w:spacing w:val="2"/>
                      <w:highlight w:val="none"/>
                      <w:lang w:val="en-US" w:eastAsia="zh-CN"/>
                    </w:rPr>
                    <w:t>11.8</w:t>
                  </w:r>
                </w:p>
              </w:tc>
              <w:tc>
                <w:tcPr>
                  <w:tcW w:w="2071" w:type="dxa"/>
                  <w:noWrap w:val="0"/>
                  <w:vAlign w:val="center"/>
                </w:tcPr>
                <w:p w14:paraId="6589EA26">
                  <w:pPr>
                    <w:jc w:val="center"/>
                    <w:rPr>
                      <w:rFonts w:hint="default" w:ascii="Times New Roman" w:hAnsi="Times New Roman" w:cs="Times New Roman"/>
                      <w:color w:val="auto"/>
                      <w:spacing w:val="2"/>
                      <w:highlight w:val="none"/>
                      <w:lang w:val="en-US" w:eastAsia="zh-CN"/>
                    </w:rPr>
                  </w:pPr>
                  <w:r>
                    <w:rPr>
                      <w:rFonts w:hint="eastAsia" w:cs="Times New Roman"/>
                      <w:color w:val="auto"/>
                      <w:spacing w:val="2"/>
                      <w:highlight w:val="none"/>
                      <w:lang w:val="en-US" w:eastAsia="zh-CN"/>
                    </w:rPr>
                    <w:t>59.0%</w:t>
                  </w:r>
                </w:p>
              </w:tc>
            </w:tr>
            <w:tr w14:paraId="2C2E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6" w:type="dxa"/>
                  <w:vMerge w:val="continue"/>
                  <w:noWrap w:val="0"/>
                  <w:vAlign w:val="center"/>
                </w:tcPr>
                <w:p w14:paraId="3E077A15">
                  <w:pPr>
                    <w:jc w:val="center"/>
                    <w:rPr>
                      <w:rFonts w:hint="default" w:ascii="Times New Roman" w:hAnsi="Times New Roman" w:cs="Times New Roman"/>
                      <w:color w:val="auto"/>
                      <w:highlight w:val="none"/>
                    </w:rPr>
                  </w:pPr>
                </w:p>
              </w:tc>
              <w:tc>
                <w:tcPr>
                  <w:tcW w:w="1186" w:type="dxa"/>
                  <w:vMerge w:val="continue"/>
                  <w:noWrap w:val="0"/>
                  <w:vAlign w:val="center"/>
                </w:tcPr>
                <w:p w14:paraId="6F3BEE27">
                  <w:pPr>
                    <w:jc w:val="center"/>
                    <w:rPr>
                      <w:rFonts w:hint="default" w:ascii="Times New Roman" w:hAnsi="Times New Roman" w:cs="Times New Roman"/>
                      <w:color w:val="auto"/>
                      <w:highlight w:val="none"/>
                    </w:rPr>
                  </w:pPr>
                </w:p>
              </w:tc>
              <w:tc>
                <w:tcPr>
                  <w:tcW w:w="1381" w:type="dxa"/>
                  <w:noWrap w:val="0"/>
                  <w:vAlign w:val="center"/>
                </w:tcPr>
                <w:p w14:paraId="4E05DBF4">
                  <w:pPr>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spacing w:val="2"/>
                      <w:highlight w:val="none"/>
                    </w:rPr>
                    <w:t>月</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spacing w:val="2"/>
                      <w:highlight w:val="none"/>
                    </w:rPr>
                    <w:t>日</w:t>
                  </w:r>
                </w:p>
              </w:tc>
              <w:tc>
                <w:tcPr>
                  <w:tcW w:w="2071" w:type="dxa"/>
                  <w:vMerge w:val="continue"/>
                  <w:noWrap w:val="0"/>
                  <w:vAlign w:val="center"/>
                </w:tcPr>
                <w:p w14:paraId="79EA9105">
                  <w:pPr>
                    <w:jc w:val="center"/>
                    <w:rPr>
                      <w:rFonts w:hint="default" w:ascii="Times New Roman" w:hAnsi="Times New Roman" w:cs="Times New Roman"/>
                      <w:color w:val="auto"/>
                      <w:spacing w:val="2"/>
                      <w:highlight w:val="none"/>
                    </w:rPr>
                  </w:pPr>
                </w:p>
              </w:tc>
              <w:tc>
                <w:tcPr>
                  <w:tcW w:w="2071" w:type="dxa"/>
                  <w:noWrap w:val="0"/>
                  <w:vAlign w:val="center"/>
                </w:tcPr>
                <w:p w14:paraId="1AD7D35B">
                  <w:pPr>
                    <w:jc w:val="center"/>
                    <w:rPr>
                      <w:rFonts w:hint="default" w:ascii="Times New Roman" w:hAnsi="Times New Roman" w:eastAsia="宋体" w:cs="Times New Roman"/>
                      <w:color w:val="auto"/>
                      <w:spacing w:val="2"/>
                      <w:highlight w:val="none"/>
                      <w:lang w:val="en-US" w:eastAsia="zh-CN"/>
                    </w:rPr>
                  </w:pPr>
                  <w:r>
                    <w:rPr>
                      <w:rFonts w:hint="eastAsia" w:ascii="Times New Roman" w:hAnsi="Times New Roman" w:cs="Times New Roman"/>
                      <w:color w:val="auto"/>
                      <w:spacing w:val="2"/>
                      <w:highlight w:val="none"/>
                      <w:lang w:val="en-US" w:eastAsia="zh-CN"/>
                    </w:rPr>
                    <w:t>11.4</w:t>
                  </w:r>
                </w:p>
              </w:tc>
              <w:tc>
                <w:tcPr>
                  <w:tcW w:w="2071" w:type="dxa"/>
                  <w:noWrap w:val="0"/>
                  <w:vAlign w:val="center"/>
                </w:tcPr>
                <w:p w14:paraId="52E8D760">
                  <w:pPr>
                    <w:jc w:val="center"/>
                    <w:rPr>
                      <w:rFonts w:hint="default" w:ascii="Times New Roman" w:hAnsi="Times New Roman" w:cs="Times New Roman"/>
                      <w:color w:val="auto"/>
                      <w:spacing w:val="2"/>
                      <w:highlight w:val="none"/>
                      <w:lang w:val="en-US" w:eastAsia="zh-CN"/>
                    </w:rPr>
                  </w:pPr>
                  <w:r>
                    <w:rPr>
                      <w:rFonts w:hint="eastAsia" w:cs="Times New Roman"/>
                      <w:color w:val="auto"/>
                      <w:spacing w:val="2"/>
                      <w:highlight w:val="none"/>
                      <w:lang w:val="en-US" w:eastAsia="zh-CN"/>
                    </w:rPr>
                    <w:t>57.0%</w:t>
                  </w:r>
                </w:p>
              </w:tc>
            </w:tr>
          </w:tbl>
          <w:p w14:paraId="3C8CC408">
            <w:pPr>
              <w:numPr>
                <w:ilvl w:val="0"/>
                <w:numId w:val="0"/>
              </w:numPr>
              <w:spacing w:line="360" w:lineRule="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 无组织废气</w:t>
            </w:r>
            <w:r>
              <w:rPr>
                <w:rFonts w:hint="default" w:ascii="Times New Roman" w:hAnsi="Times New Roman" w:cs="Times New Roman"/>
                <w:b/>
                <w:bCs/>
                <w:color w:val="auto"/>
                <w:sz w:val="24"/>
                <w:szCs w:val="24"/>
              </w:rPr>
              <w:t>验收</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结果</w:t>
            </w:r>
            <w:bookmarkEnd w:id="38"/>
            <w:bookmarkEnd w:id="39"/>
            <w:bookmarkEnd w:id="40"/>
            <w:bookmarkEnd w:id="41"/>
            <w:bookmarkEnd w:id="42"/>
            <w:bookmarkEnd w:id="43"/>
          </w:p>
          <w:p w14:paraId="385916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lang w:val="en-US" w:eastAsia="zh-CN"/>
              </w:rPr>
            </w:pPr>
            <w:r>
              <w:rPr>
                <w:rFonts w:hint="eastAsia" w:ascii="Times New Roman" w:hAnsi="Times New Roman" w:cs="Times New Roman"/>
                <w:color w:val="auto"/>
                <w:spacing w:val="4"/>
                <w:sz w:val="24"/>
                <w:szCs w:val="24"/>
                <w:lang w:val="en-US" w:eastAsia="zh-CN"/>
              </w:rPr>
              <w:t>无组织</w:t>
            </w:r>
            <w:r>
              <w:rPr>
                <w:rFonts w:hint="default" w:ascii="Times New Roman" w:hAnsi="Times New Roman" w:cs="Times New Roman"/>
                <w:color w:val="auto"/>
                <w:spacing w:val="4"/>
                <w:sz w:val="24"/>
                <w:szCs w:val="24"/>
                <w:lang w:eastAsia="zh-CN"/>
              </w:rPr>
              <w:t>废气</w:t>
            </w:r>
            <w:r>
              <w:rPr>
                <w:rFonts w:hint="default" w:ascii="Times New Roman" w:hAnsi="Times New Roman" w:cs="Times New Roman"/>
                <w:color w:val="auto"/>
                <w:spacing w:val="4"/>
                <w:sz w:val="24"/>
                <w:szCs w:val="24"/>
              </w:rPr>
              <w:t>：</w:t>
            </w:r>
            <w:r>
              <w:rPr>
                <w:rFonts w:hint="eastAsia" w:ascii="Times New Roman" w:hAnsi="Times New Roman" w:eastAsia="宋体" w:cs="Times New Roman"/>
                <w:color w:val="auto"/>
                <w:spacing w:val="4"/>
                <w:sz w:val="24"/>
                <w:szCs w:val="24"/>
                <w:lang w:val="en-US" w:eastAsia="zh-CN"/>
              </w:rPr>
              <w:t>厂界下风向10m内</w:t>
            </w:r>
            <w:r>
              <w:rPr>
                <w:rFonts w:hint="default" w:ascii="Times New Roman" w:hAnsi="Times New Roman" w:eastAsia="宋体" w:cs="Times New Roman"/>
                <w:color w:val="auto"/>
                <w:spacing w:val="4"/>
                <w:sz w:val="24"/>
                <w:szCs w:val="24"/>
                <w:lang w:val="en-US" w:eastAsia="zh-CN"/>
              </w:rPr>
              <w:t>，项目为</w:t>
            </w:r>
            <w:r>
              <w:rPr>
                <w:rFonts w:hint="eastAsia" w:ascii="Times New Roman" w:hAnsi="Times New Roman" w:eastAsia="宋体" w:cs="Times New Roman"/>
                <w:color w:val="auto"/>
                <w:spacing w:val="4"/>
                <w:sz w:val="24"/>
                <w:szCs w:val="24"/>
                <w:lang w:val="en-US" w:eastAsia="zh-CN"/>
              </w:rPr>
              <w:t>颗粒物、臭气浓度、氨、硫化氢、非甲烷总烃</w:t>
            </w:r>
            <w:r>
              <w:rPr>
                <w:rFonts w:hint="default" w:ascii="Times New Roman" w:hAnsi="Times New Roman" w:eastAsia="宋体" w:cs="Times New Roman"/>
                <w:color w:val="auto"/>
                <w:spacing w:val="4"/>
                <w:sz w:val="24"/>
                <w:szCs w:val="24"/>
                <w:lang w:val="en-US" w:eastAsia="zh-CN"/>
              </w:rPr>
              <w:t>，</w:t>
            </w:r>
            <w:r>
              <w:rPr>
                <w:rFonts w:hint="eastAsia" w:ascii="Times New Roman" w:hAnsi="Times New Roman" w:eastAsia="宋体" w:cs="Times New Roman"/>
                <w:color w:val="auto"/>
                <w:spacing w:val="4"/>
                <w:sz w:val="24"/>
                <w:szCs w:val="24"/>
                <w:lang w:val="en-US" w:eastAsia="zh-CN"/>
              </w:rPr>
              <w:t>小时均值，</w:t>
            </w:r>
            <w:r>
              <w:rPr>
                <w:rFonts w:hint="default" w:ascii="Times New Roman" w:hAnsi="Times New Roman" w:eastAsia="宋体" w:cs="Times New Roman"/>
                <w:color w:val="auto"/>
                <w:spacing w:val="4"/>
                <w:sz w:val="24"/>
                <w:szCs w:val="24"/>
                <w:lang w:val="en-US" w:eastAsia="zh-CN"/>
              </w:rPr>
              <w:t>每天</w:t>
            </w:r>
            <w:r>
              <w:rPr>
                <w:rFonts w:hint="eastAsia" w:ascii="Times New Roman" w:hAnsi="Times New Roman" w:eastAsia="宋体" w:cs="Times New Roman"/>
                <w:color w:val="auto"/>
                <w:spacing w:val="4"/>
                <w:sz w:val="24"/>
                <w:szCs w:val="24"/>
                <w:lang w:val="en-US" w:eastAsia="zh-CN"/>
              </w:rPr>
              <w:t>采样3次</w:t>
            </w:r>
            <w:r>
              <w:rPr>
                <w:rFonts w:hint="default" w:ascii="Times New Roman" w:hAnsi="Times New Roman" w:eastAsia="宋体" w:cs="Times New Roman"/>
                <w:color w:val="auto"/>
                <w:spacing w:val="4"/>
                <w:sz w:val="24"/>
                <w:szCs w:val="24"/>
                <w:lang w:val="en-US" w:eastAsia="zh-CN"/>
              </w:rPr>
              <w:t>，连续监测二天</w:t>
            </w:r>
            <w:r>
              <w:rPr>
                <w:rFonts w:hint="eastAsia" w:ascii="Times New Roman" w:hAnsi="Times New Roman" w:eastAsia="宋体" w:cs="Times New Roman"/>
                <w:color w:val="auto"/>
                <w:spacing w:val="4"/>
                <w:sz w:val="24"/>
                <w:szCs w:val="24"/>
                <w:lang w:val="en-US" w:eastAsia="zh-CN"/>
              </w:rPr>
              <w:t>，检测结果</w:t>
            </w:r>
            <w:r>
              <w:rPr>
                <w:rFonts w:hint="default" w:ascii="Times New Roman" w:hAnsi="Times New Roman" w:eastAsia="宋体" w:cs="Times New Roman"/>
                <w:color w:val="auto"/>
                <w:spacing w:val="4"/>
                <w:sz w:val="24"/>
                <w:szCs w:val="24"/>
                <w:lang w:val="en-US" w:eastAsia="zh-CN"/>
              </w:rPr>
              <w:t>详见表</w:t>
            </w:r>
            <w:r>
              <w:rPr>
                <w:rFonts w:hint="eastAsia" w:ascii="Times New Roman" w:hAnsi="Times New Roman" w:eastAsia="宋体" w:cs="Times New Roman"/>
                <w:color w:val="auto"/>
                <w:spacing w:val="4"/>
                <w:sz w:val="24"/>
                <w:szCs w:val="24"/>
                <w:lang w:val="en-US" w:eastAsia="zh-CN"/>
              </w:rPr>
              <w:t>7-2。</w:t>
            </w:r>
          </w:p>
          <w:p w14:paraId="5214F27E">
            <w:pPr>
              <w:snapToGrid w:val="0"/>
              <w:jc w:val="both"/>
              <w:rPr>
                <w:rFonts w:hint="default" w:ascii="Times New Roman" w:hAnsi="Times New Roman" w:cs="Times New Roman"/>
                <w:color w:val="FF0000"/>
                <w:sz w:val="21"/>
                <w:szCs w:val="21"/>
              </w:rPr>
            </w:pPr>
            <w:r>
              <w:rPr>
                <w:rFonts w:hint="default" w:ascii="Times New Roman" w:hAnsi="Times New Roman" w:cs="Times New Roman"/>
                <w:b/>
                <w:color w:val="0000FF"/>
              </w:rPr>
              <w:t xml:space="preserve">              </w:t>
            </w:r>
            <w:r>
              <w:rPr>
                <w:rFonts w:hint="default" w:ascii="Times New Roman" w:hAnsi="Times New Roman" w:cs="Times New Roman"/>
                <w:b/>
                <w:color w:val="0000FF"/>
                <w:sz w:val="24"/>
                <w:szCs w:val="24"/>
              </w:rPr>
              <w:t xml:space="preserve">           </w:t>
            </w:r>
            <w:r>
              <w:rPr>
                <w:rFonts w:hint="default" w:ascii="Times New Roman" w:hAnsi="Times New Roman" w:cs="Times New Roman"/>
                <w:b/>
                <w:color w:val="auto"/>
                <w:sz w:val="24"/>
                <w:szCs w:val="24"/>
              </w:rPr>
              <w:t xml:space="preserve"> 表7-2  </w:t>
            </w:r>
            <w:r>
              <w:rPr>
                <w:rFonts w:hint="eastAsia" w:ascii="Times New Roman" w:hAnsi="Times New Roman" w:cs="Times New Roman"/>
                <w:b/>
                <w:color w:val="auto"/>
                <w:sz w:val="24"/>
                <w:szCs w:val="24"/>
                <w:lang w:eastAsia="zh-CN"/>
              </w:rPr>
              <w:t>无组织</w:t>
            </w:r>
            <w:r>
              <w:rPr>
                <w:rFonts w:hint="default" w:ascii="Times New Roman" w:hAnsi="Times New Roman" w:cs="Times New Roman"/>
                <w:b/>
                <w:color w:val="auto"/>
                <w:sz w:val="24"/>
                <w:szCs w:val="24"/>
              </w:rPr>
              <w:t xml:space="preserve">废气检测结果表         </w:t>
            </w:r>
            <w:r>
              <w:rPr>
                <w:rFonts w:hint="default" w:ascii="Times New Roman" w:hAnsi="Times New Roman" w:cs="Times New Roman"/>
                <w:b/>
                <w:color w:val="auto"/>
                <w:sz w:val="21"/>
                <w:szCs w:val="21"/>
              </w:rPr>
              <w:t>单位</w:t>
            </w:r>
            <w:r>
              <w:rPr>
                <w:rFonts w:hint="eastAsia" w:cs="Times New Roman"/>
                <w:b/>
                <w:color w:val="auto"/>
                <w:sz w:val="21"/>
                <w:szCs w:val="21"/>
                <w:lang w:val="en-US" w:eastAsia="zh-CN"/>
              </w:rPr>
              <w:t xml:space="preserve">   mg</w:t>
            </w:r>
            <w:r>
              <w:rPr>
                <w:rFonts w:hint="default" w:ascii="Times New Roman" w:hAnsi="Times New Roman" w:cs="Times New Roman"/>
                <w:b/>
                <w:color w:val="auto"/>
                <w:sz w:val="21"/>
                <w:szCs w:val="21"/>
              </w:rPr>
              <w:t>/m</w:t>
            </w:r>
            <w:r>
              <w:rPr>
                <w:rFonts w:hint="default" w:ascii="Times New Roman" w:hAnsi="Times New Roman" w:cs="Times New Roman"/>
                <w:b/>
                <w:color w:val="auto"/>
                <w:sz w:val="21"/>
                <w:szCs w:val="21"/>
                <w:vertAlign w:val="superscript"/>
              </w:rPr>
              <w:t>3</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269"/>
              <w:gridCol w:w="1957"/>
              <w:gridCol w:w="1296"/>
              <w:gridCol w:w="1296"/>
              <w:gridCol w:w="1296"/>
              <w:gridCol w:w="1298"/>
            </w:tblGrid>
            <w:tr w14:paraId="0093D9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59" w:type="dxa"/>
                  <w:vMerge w:val="restart"/>
                  <w:tcBorders>
                    <w:tl2br w:val="nil"/>
                    <w:tr2bl w:val="nil"/>
                  </w:tcBorders>
                  <w:noWrap w:val="0"/>
                  <w:vAlign w:val="center"/>
                </w:tcPr>
                <w:p w14:paraId="59876A24">
                  <w:pPr>
                    <w:spacing w:line="240"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CN"/>
                    </w:rPr>
                    <w:t>采样</w:t>
                  </w:r>
                  <w:r>
                    <w:rPr>
                      <w:rFonts w:hint="default" w:ascii="Times New Roman" w:hAnsi="Times New Roman" w:eastAsia="宋体" w:cs="Times New Roman"/>
                      <w:color w:val="auto"/>
                      <w:sz w:val="21"/>
                      <w:szCs w:val="21"/>
                    </w:rPr>
                    <w:t>日期</w:t>
                  </w:r>
                </w:p>
              </w:tc>
              <w:tc>
                <w:tcPr>
                  <w:tcW w:w="1269" w:type="dxa"/>
                  <w:vMerge w:val="restart"/>
                  <w:tcBorders>
                    <w:tl2br w:val="nil"/>
                    <w:tr2bl w:val="nil"/>
                  </w:tcBorders>
                  <w:noWrap w:val="0"/>
                  <w:vAlign w:val="center"/>
                </w:tcPr>
                <w:p w14:paraId="0E37C9CE">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点位名称</w:t>
                  </w:r>
                </w:p>
              </w:tc>
              <w:tc>
                <w:tcPr>
                  <w:tcW w:w="1957" w:type="dxa"/>
                  <w:vMerge w:val="restart"/>
                  <w:tcBorders>
                    <w:tl2br w:val="nil"/>
                    <w:tr2bl w:val="nil"/>
                  </w:tcBorders>
                  <w:noWrap w:val="0"/>
                  <w:vAlign w:val="center"/>
                </w:tcPr>
                <w:p w14:paraId="11FA3307">
                  <w:pPr>
                    <w:spacing w:line="240" w:lineRule="auto"/>
                    <w:jc w:val="center"/>
                    <w:rPr>
                      <w:rFonts w:hint="default" w:ascii="Times New Roman" w:hAnsi="Times New Roman" w:eastAsia="宋体" w:cs="Times New Roman"/>
                      <w:color w:val="auto"/>
                      <w:spacing w:val="-4"/>
                      <w:sz w:val="21"/>
                      <w:szCs w:val="21"/>
                      <w:lang w:eastAsia="zh-CN"/>
                    </w:rPr>
                  </w:pPr>
                  <w:r>
                    <w:rPr>
                      <w:rFonts w:hint="eastAsia" w:ascii="Times New Roman" w:hAnsi="Times New Roman" w:eastAsia="宋体" w:cs="Times New Roman"/>
                      <w:color w:val="auto"/>
                      <w:spacing w:val="-4"/>
                      <w:sz w:val="21"/>
                      <w:szCs w:val="21"/>
                      <w:lang w:val="en-US" w:eastAsia="zh-CN"/>
                    </w:rPr>
                    <w:t>检测</w:t>
                  </w:r>
                  <w:r>
                    <w:rPr>
                      <w:rFonts w:hint="default" w:ascii="Times New Roman" w:hAnsi="Times New Roman" w:eastAsia="宋体" w:cs="Times New Roman"/>
                      <w:color w:val="auto"/>
                      <w:spacing w:val="-4"/>
                      <w:sz w:val="21"/>
                      <w:szCs w:val="21"/>
                      <w:lang w:eastAsia="zh-CN"/>
                    </w:rPr>
                    <w:t>项目</w:t>
                  </w:r>
                </w:p>
              </w:tc>
              <w:tc>
                <w:tcPr>
                  <w:tcW w:w="5186" w:type="dxa"/>
                  <w:gridSpan w:val="4"/>
                  <w:tcBorders>
                    <w:tl2br w:val="nil"/>
                    <w:tr2bl w:val="nil"/>
                  </w:tcBorders>
                  <w:noWrap w:val="0"/>
                  <w:vAlign w:val="center"/>
                </w:tcPr>
                <w:p w14:paraId="6BFA865F">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检测结果</w:t>
                  </w:r>
                </w:p>
              </w:tc>
            </w:tr>
            <w:tr w14:paraId="55284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59" w:type="dxa"/>
                  <w:vMerge w:val="continue"/>
                  <w:tcBorders>
                    <w:tl2br w:val="nil"/>
                    <w:tr2bl w:val="nil"/>
                  </w:tcBorders>
                  <w:noWrap w:val="0"/>
                  <w:vAlign w:val="center"/>
                </w:tcPr>
                <w:p w14:paraId="1FC755FF">
                  <w:pPr>
                    <w:spacing w:line="240" w:lineRule="auto"/>
                    <w:jc w:val="center"/>
                    <w:rPr>
                      <w:rFonts w:hint="default" w:ascii="Times New Roman" w:hAnsi="Times New Roman" w:eastAsia="宋体" w:cs="Times New Roman"/>
                      <w:color w:val="auto"/>
                      <w:sz w:val="21"/>
                      <w:szCs w:val="21"/>
                      <w:lang w:eastAsia="zh-CN"/>
                    </w:rPr>
                  </w:pPr>
                </w:p>
              </w:tc>
              <w:tc>
                <w:tcPr>
                  <w:tcW w:w="1269" w:type="dxa"/>
                  <w:vMerge w:val="continue"/>
                  <w:tcBorders>
                    <w:tl2br w:val="nil"/>
                    <w:tr2bl w:val="nil"/>
                  </w:tcBorders>
                  <w:noWrap w:val="0"/>
                  <w:vAlign w:val="center"/>
                </w:tcPr>
                <w:p w14:paraId="1AEEA92E">
                  <w:pPr>
                    <w:spacing w:line="240" w:lineRule="auto"/>
                    <w:jc w:val="center"/>
                    <w:rPr>
                      <w:rFonts w:hint="default" w:ascii="Times New Roman" w:hAnsi="Times New Roman" w:eastAsia="宋体" w:cs="Times New Roman"/>
                      <w:color w:val="auto"/>
                      <w:sz w:val="21"/>
                      <w:szCs w:val="21"/>
                    </w:rPr>
                  </w:pPr>
                </w:p>
              </w:tc>
              <w:tc>
                <w:tcPr>
                  <w:tcW w:w="1957" w:type="dxa"/>
                  <w:vMerge w:val="continue"/>
                  <w:tcBorders>
                    <w:tl2br w:val="nil"/>
                    <w:tr2bl w:val="nil"/>
                  </w:tcBorders>
                  <w:noWrap w:val="0"/>
                  <w:vAlign w:val="center"/>
                </w:tcPr>
                <w:p w14:paraId="7F333DF8">
                  <w:pPr>
                    <w:spacing w:line="240" w:lineRule="auto"/>
                    <w:jc w:val="center"/>
                    <w:rPr>
                      <w:rFonts w:hint="default" w:ascii="Times New Roman" w:hAnsi="Times New Roman" w:eastAsia="宋体" w:cs="Times New Roman"/>
                      <w:color w:val="auto"/>
                      <w:sz w:val="21"/>
                      <w:szCs w:val="21"/>
                      <w:lang w:eastAsia="zh-CN"/>
                    </w:rPr>
                  </w:pPr>
                </w:p>
              </w:tc>
              <w:tc>
                <w:tcPr>
                  <w:tcW w:w="1296" w:type="dxa"/>
                  <w:tcBorders>
                    <w:tl2br w:val="nil"/>
                    <w:tr2bl w:val="nil"/>
                  </w:tcBorders>
                  <w:noWrap w:val="0"/>
                  <w:vAlign w:val="center"/>
                </w:tcPr>
                <w:p w14:paraId="2936B92D">
                  <w:pPr>
                    <w:spacing w:line="240" w:lineRule="auto"/>
                    <w:jc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第</w:t>
                  </w:r>
                  <w:r>
                    <w:rPr>
                      <w:rFonts w:hint="default" w:ascii="Times New Roman" w:hAnsi="Times New Roman" w:eastAsia="宋体" w:cs="Times New Roman"/>
                      <w:color w:val="auto"/>
                      <w:sz w:val="21"/>
                      <w:szCs w:val="21"/>
                      <w:lang w:eastAsia="zh-CN"/>
                    </w:rPr>
                    <w:t>一次</w:t>
                  </w:r>
                </w:p>
              </w:tc>
              <w:tc>
                <w:tcPr>
                  <w:tcW w:w="1296" w:type="dxa"/>
                  <w:tcBorders>
                    <w:tl2br w:val="nil"/>
                    <w:tr2bl w:val="nil"/>
                  </w:tcBorders>
                  <w:noWrap w:val="0"/>
                  <w:vAlign w:val="center"/>
                </w:tcPr>
                <w:p w14:paraId="5C72E70E">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第</w:t>
                  </w:r>
                  <w:r>
                    <w:rPr>
                      <w:rFonts w:hint="default" w:ascii="Times New Roman" w:hAnsi="Times New Roman" w:eastAsia="宋体" w:cs="Times New Roman"/>
                      <w:color w:val="auto"/>
                      <w:kern w:val="0"/>
                      <w:sz w:val="21"/>
                      <w:szCs w:val="21"/>
                      <w:lang w:val="en-US" w:eastAsia="zh-CN"/>
                    </w:rPr>
                    <w:t>二次</w:t>
                  </w:r>
                </w:p>
              </w:tc>
              <w:tc>
                <w:tcPr>
                  <w:tcW w:w="1296" w:type="dxa"/>
                  <w:tcBorders>
                    <w:tl2br w:val="nil"/>
                    <w:tr2bl w:val="nil"/>
                  </w:tcBorders>
                  <w:noWrap w:val="0"/>
                  <w:vAlign w:val="center"/>
                </w:tcPr>
                <w:p w14:paraId="09C311E9">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第</w:t>
                  </w:r>
                  <w:r>
                    <w:rPr>
                      <w:rFonts w:hint="default" w:ascii="Times New Roman" w:hAnsi="Times New Roman" w:eastAsia="宋体" w:cs="Times New Roman"/>
                      <w:color w:val="auto"/>
                      <w:kern w:val="0"/>
                      <w:sz w:val="21"/>
                      <w:szCs w:val="21"/>
                      <w:lang w:val="en-US" w:eastAsia="zh-CN"/>
                    </w:rPr>
                    <w:t>三次</w:t>
                  </w:r>
                </w:p>
              </w:tc>
              <w:tc>
                <w:tcPr>
                  <w:tcW w:w="1298" w:type="dxa"/>
                  <w:tcBorders>
                    <w:tl2br w:val="nil"/>
                    <w:tr2bl w:val="nil"/>
                  </w:tcBorders>
                  <w:noWrap w:val="0"/>
                  <w:vAlign w:val="center"/>
                </w:tcPr>
                <w:p w14:paraId="37A52825">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第四次</w:t>
                  </w:r>
                </w:p>
              </w:tc>
            </w:tr>
            <w:tr w14:paraId="7C398C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restart"/>
                  <w:tcBorders>
                    <w:tl2br w:val="nil"/>
                    <w:tr2bl w:val="nil"/>
                  </w:tcBorders>
                  <w:noWrap w:val="0"/>
                  <w:vAlign w:val="center"/>
                </w:tcPr>
                <w:p w14:paraId="79895FE6">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6月</w:t>
                  </w:r>
                </w:p>
                <w:p w14:paraId="4A80C44E">
                  <w:pPr>
                    <w:snapToGrid w:val="0"/>
                    <w:spacing w:line="360" w:lineRule="auto"/>
                    <w:jc w:val="center"/>
                    <w:rPr>
                      <w:rFonts w:hint="default" w:ascii="Times New Roman" w:hAnsi="Times New Roman" w:eastAsia="宋体" w:cs="Times New Roman"/>
                      <w:color w:val="auto"/>
                      <w:kern w:val="2"/>
                      <w:position w:val="6"/>
                      <w:sz w:val="21"/>
                      <w:szCs w:val="21"/>
                    </w:rPr>
                  </w:pPr>
                  <w:r>
                    <w:rPr>
                      <w:rFonts w:hint="eastAsia" w:ascii="Times New Roman" w:hAnsi="Times New Roman" w:eastAsia="宋体" w:cs="Times New Roman"/>
                      <w:color w:val="auto"/>
                      <w:spacing w:val="-12"/>
                      <w:sz w:val="21"/>
                      <w:szCs w:val="21"/>
                      <w:lang w:val="en-US" w:eastAsia="zh-CN"/>
                    </w:rPr>
                    <w:t>1日</w:t>
                  </w:r>
                </w:p>
              </w:tc>
              <w:tc>
                <w:tcPr>
                  <w:tcW w:w="1269" w:type="dxa"/>
                  <w:vMerge w:val="restart"/>
                  <w:tcBorders>
                    <w:tl2br w:val="nil"/>
                    <w:tr2bl w:val="nil"/>
                  </w:tcBorders>
                  <w:noWrap w:val="0"/>
                  <w:vAlign w:val="center"/>
                </w:tcPr>
                <w:p w14:paraId="24136F0E">
                  <w:pPr>
                    <w:snapToGrid w:val="0"/>
                    <w:spacing w:line="240" w:lineRule="auto"/>
                    <w:jc w:val="center"/>
                    <w:rPr>
                      <w:rFonts w:hint="default" w:ascii="Times New Roman" w:hAnsi="Times New Roman" w:eastAsia="宋体" w:cs="Times New Roman"/>
                      <w:color w:val="auto"/>
                      <w:kern w:val="2"/>
                      <w:position w:val="6"/>
                      <w:sz w:val="21"/>
                      <w:szCs w:val="21"/>
                      <w:lang w:val="en-US"/>
                    </w:rPr>
                  </w:pP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#厂界下风向10m内</w:t>
                  </w:r>
                </w:p>
              </w:tc>
              <w:tc>
                <w:tcPr>
                  <w:tcW w:w="1957" w:type="dxa"/>
                  <w:tcBorders>
                    <w:tl2br w:val="nil"/>
                    <w:tr2bl w:val="nil"/>
                  </w:tcBorders>
                  <w:noWrap w:val="0"/>
                  <w:vAlign w:val="center"/>
                </w:tcPr>
                <w:p w14:paraId="2C3655D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cs="Times New Roman"/>
                      <w:color w:val="000000"/>
                      <w:sz w:val="21"/>
                      <w:szCs w:val="21"/>
                      <w:lang w:val="en-US" w:eastAsia="zh-CN"/>
                    </w:rPr>
                    <w:t>硫化氢</w:t>
                  </w:r>
                </w:p>
              </w:tc>
              <w:tc>
                <w:tcPr>
                  <w:tcW w:w="1296" w:type="dxa"/>
                  <w:tcBorders>
                    <w:tl2br w:val="nil"/>
                    <w:tr2bl w:val="nil"/>
                  </w:tcBorders>
                  <w:noWrap w:val="0"/>
                  <w:vAlign w:val="center"/>
                </w:tcPr>
                <w:p w14:paraId="675A6837">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0.022</w:t>
                  </w:r>
                </w:p>
              </w:tc>
              <w:tc>
                <w:tcPr>
                  <w:tcW w:w="1296" w:type="dxa"/>
                  <w:tcBorders>
                    <w:tl2br w:val="nil"/>
                    <w:tr2bl w:val="nil"/>
                  </w:tcBorders>
                  <w:noWrap w:val="0"/>
                  <w:vAlign w:val="center"/>
                </w:tcPr>
                <w:p w14:paraId="4732BB3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0.024</w:t>
                  </w:r>
                </w:p>
              </w:tc>
              <w:tc>
                <w:tcPr>
                  <w:tcW w:w="1296" w:type="dxa"/>
                  <w:tcBorders>
                    <w:tl2br w:val="nil"/>
                    <w:tr2bl w:val="nil"/>
                  </w:tcBorders>
                  <w:noWrap w:val="0"/>
                  <w:vAlign w:val="center"/>
                </w:tcPr>
                <w:p w14:paraId="69F3757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0.020</w:t>
                  </w:r>
                </w:p>
              </w:tc>
              <w:tc>
                <w:tcPr>
                  <w:tcW w:w="1298" w:type="dxa"/>
                  <w:tcBorders>
                    <w:tl2br w:val="nil"/>
                    <w:tr2bl w:val="nil"/>
                  </w:tcBorders>
                  <w:noWrap w:val="0"/>
                  <w:vAlign w:val="center"/>
                </w:tcPr>
                <w:p w14:paraId="0BCDF0A4">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0.018</w:t>
                  </w:r>
                </w:p>
              </w:tc>
            </w:tr>
            <w:tr w14:paraId="282A9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51F5B877">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13CB8AAD">
                  <w:pPr>
                    <w:pStyle w:val="29"/>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957" w:type="dxa"/>
                  <w:tcBorders>
                    <w:tl2br w:val="nil"/>
                    <w:tr2bl w:val="nil"/>
                  </w:tcBorders>
                  <w:noWrap w:val="0"/>
                  <w:vAlign w:val="center"/>
                </w:tcPr>
                <w:p w14:paraId="128352B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kern w:val="0"/>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296" w:type="dxa"/>
                  <w:tcBorders>
                    <w:tl2br w:val="nil"/>
                    <w:tr2bl w:val="nil"/>
                  </w:tcBorders>
                  <w:noWrap w:val="0"/>
                  <w:vAlign w:val="center"/>
                </w:tcPr>
                <w:p w14:paraId="70D89BF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0.94</w:t>
                  </w:r>
                </w:p>
              </w:tc>
              <w:tc>
                <w:tcPr>
                  <w:tcW w:w="1296" w:type="dxa"/>
                  <w:tcBorders>
                    <w:tl2br w:val="nil"/>
                    <w:tr2bl w:val="nil"/>
                  </w:tcBorders>
                  <w:noWrap w:val="0"/>
                  <w:vAlign w:val="center"/>
                </w:tcPr>
                <w:p w14:paraId="01BC8C0C">
                  <w:pPr>
                    <w:keepNext w:val="0"/>
                    <w:keepLines w:val="0"/>
                    <w:widowControl/>
                    <w:suppressLineNumbers w:val="0"/>
                    <w:spacing w:line="240" w:lineRule="auto"/>
                    <w:jc w:val="center"/>
                    <w:textAlignment w:val="center"/>
                    <w:rPr>
                      <w:rFonts w:hint="default"/>
                      <w:color w:val="auto"/>
                      <w:lang w:val="en-US" w:eastAsia="zh-CN"/>
                    </w:rPr>
                  </w:pPr>
                  <w:r>
                    <w:rPr>
                      <w:rFonts w:hint="eastAsia"/>
                      <w:color w:val="auto"/>
                      <w:lang w:val="en-US" w:eastAsia="zh-CN"/>
                    </w:rPr>
                    <w:t>0.87</w:t>
                  </w:r>
                </w:p>
              </w:tc>
              <w:tc>
                <w:tcPr>
                  <w:tcW w:w="1296" w:type="dxa"/>
                  <w:tcBorders>
                    <w:tl2br w:val="nil"/>
                    <w:tr2bl w:val="nil"/>
                  </w:tcBorders>
                  <w:noWrap w:val="0"/>
                  <w:vAlign w:val="center"/>
                </w:tcPr>
                <w:p w14:paraId="5ED38004">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0.86</w:t>
                  </w:r>
                </w:p>
              </w:tc>
              <w:tc>
                <w:tcPr>
                  <w:tcW w:w="1298" w:type="dxa"/>
                  <w:tcBorders>
                    <w:tl2br w:val="nil"/>
                    <w:tr2bl w:val="nil"/>
                  </w:tcBorders>
                  <w:noWrap w:val="0"/>
                  <w:vAlign w:val="center"/>
                </w:tcPr>
                <w:p w14:paraId="24A23326">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0.83</w:t>
                  </w:r>
                </w:p>
              </w:tc>
            </w:tr>
            <w:tr w14:paraId="6772AE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05C206BA">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5227636B">
                  <w:pPr>
                    <w:snapToGrid w:val="0"/>
                    <w:spacing w:line="240" w:lineRule="auto"/>
                    <w:jc w:val="center"/>
                    <w:rPr>
                      <w:rFonts w:hint="default"/>
                      <w:color w:val="auto"/>
                      <w:lang w:val="en-US"/>
                    </w:rPr>
                  </w:pPr>
                </w:p>
              </w:tc>
              <w:tc>
                <w:tcPr>
                  <w:tcW w:w="1957" w:type="dxa"/>
                  <w:tcBorders>
                    <w:tl2br w:val="nil"/>
                    <w:tr2bl w:val="nil"/>
                  </w:tcBorders>
                  <w:noWrap w:val="0"/>
                  <w:vAlign w:val="center"/>
                </w:tcPr>
                <w:p w14:paraId="440AFDE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cs="Times New Roman"/>
                      <w:b w:val="0"/>
                      <w:bCs/>
                      <w:color w:val="000000"/>
                      <w:sz w:val="21"/>
                      <w:szCs w:val="21"/>
                      <w:vertAlign w:val="baseline"/>
                      <w:lang w:val="en-US" w:eastAsia="zh-CN"/>
                    </w:rPr>
                    <w:t>臭气浓度（无量纲）</w:t>
                  </w:r>
                </w:p>
              </w:tc>
              <w:tc>
                <w:tcPr>
                  <w:tcW w:w="1296" w:type="dxa"/>
                  <w:tcBorders>
                    <w:tl2br w:val="nil"/>
                    <w:tr2bl w:val="nil"/>
                  </w:tcBorders>
                  <w:noWrap w:val="0"/>
                  <w:vAlign w:val="center"/>
                </w:tcPr>
                <w:p w14:paraId="68FBD46E">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6B9FDFFA">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0C5DE01B">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c>
                <w:tcPr>
                  <w:tcW w:w="1298" w:type="dxa"/>
                  <w:tcBorders>
                    <w:tl2br w:val="nil"/>
                    <w:tr2bl w:val="nil"/>
                  </w:tcBorders>
                  <w:noWrap w:val="0"/>
                  <w:vAlign w:val="center"/>
                </w:tcPr>
                <w:p w14:paraId="56A925A5">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r>
            <w:tr w14:paraId="4CACC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622D0899">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21AAFD55">
                  <w:pPr>
                    <w:snapToGrid w:val="0"/>
                    <w:spacing w:line="360" w:lineRule="auto"/>
                    <w:jc w:val="center"/>
                    <w:rPr>
                      <w:rFonts w:hint="default" w:ascii="Times New Roman" w:hAnsi="Times New Roman" w:eastAsia="宋体" w:cs="Times New Roman"/>
                      <w:color w:val="auto"/>
                      <w:sz w:val="21"/>
                      <w:szCs w:val="21"/>
                      <w:lang w:val="en-US" w:eastAsia="zh-CN"/>
                    </w:rPr>
                  </w:pPr>
                </w:p>
              </w:tc>
              <w:tc>
                <w:tcPr>
                  <w:tcW w:w="1957" w:type="dxa"/>
                  <w:tcBorders>
                    <w:tl2br w:val="nil"/>
                    <w:tr2bl w:val="nil"/>
                  </w:tcBorders>
                  <w:noWrap w:val="0"/>
                  <w:vAlign w:val="center"/>
                </w:tcPr>
                <w:p w14:paraId="265D30A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kern w:val="0"/>
                      <w:sz w:val="21"/>
                      <w:szCs w:val="21"/>
                      <w:lang w:eastAsia="zh-CN"/>
                    </w:rPr>
                  </w:pPr>
                  <w:r>
                    <w:rPr>
                      <w:rFonts w:hint="default" w:ascii="Times New Roman" w:hAnsi="Times New Roman" w:cs="Times New Roman"/>
                      <w:b w:val="0"/>
                      <w:bCs/>
                      <w:color w:val="000000"/>
                      <w:sz w:val="21"/>
                      <w:szCs w:val="21"/>
                      <w:vertAlign w:val="baseline"/>
                      <w:lang w:val="en-US" w:eastAsia="zh-CN"/>
                    </w:rPr>
                    <w:t>颗粒物</w:t>
                  </w:r>
                  <w:r>
                    <w:rPr>
                      <w:rFonts w:hint="eastAsia"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val="en-US" w:eastAsia="zh-CN"/>
                    </w:rPr>
                    <w:t>μ</w:t>
                  </w:r>
                  <w:r>
                    <w:rPr>
                      <w:rFonts w:hint="eastAsia" w:ascii="Times New Roman" w:hAnsi="Times New Roman" w:cs="Times New Roman"/>
                      <w:b w:val="0"/>
                      <w:bCs/>
                      <w:color w:val="000000"/>
                      <w:sz w:val="21"/>
                      <w:szCs w:val="21"/>
                      <w:vertAlign w:val="baseline"/>
                      <w:lang w:val="en-US" w:eastAsia="zh-CN"/>
                    </w:rPr>
                    <w:t>g/m³）</w:t>
                  </w:r>
                </w:p>
              </w:tc>
              <w:tc>
                <w:tcPr>
                  <w:tcW w:w="1296" w:type="dxa"/>
                  <w:tcBorders>
                    <w:tl2br w:val="nil"/>
                    <w:tr2bl w:val="nil"/>
                  </w:tcBorders>
                  <w:noWrap w:val="0"/>
                  <w:vAlign w:val="center"/>
                </w:tcPr>
                <w:p w14:paraId="0F228D15">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365</w:t>
                  </w:r>
                </w:p>
              </w:tc>
              <w:tc>
                <w:tcPr>
                  <w:tcW w:w="1296" w:type="dxa"/>
                  <w:tcBorders>
                    <w:tl2br w:val="nil"/>
                    <w:tr2bl w:val="nil"/>
                  </w:tcBorders>
                  <w:noWrap w:val="0"/>
                  <w:vAlign w:val="center"/>
                </w:tcPr>
                <w:p w14:paraId="1811D6E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370</w:t>
                  </w:r>
                </w:p>
              </w:tc>
              <w:tc>
                <w:tcPr>
                  <w:tcW w:w="1296" w:type="dxa"/>
                  <w:tcBorders>
                    <w:tl2br w:val="nil"/>
                    <w:tr2bl w:val="nil"/>
                  </w:tcBorders>
                  <w:noWrap w:val="0"/>
                  <w:vAlign w:val="center"/>
                </w:tcPr>
                <w:p w14:paraId="0E408A60">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377</w:t>
                  </w:r>
                </w:p>
              </w:tc>
              <w:tc>
                <w:tcPr>
                  <w:tcW w:w="1298" w:type="dxa"/>
                  <w:tcBorders>
                    <w:tl2br w:val="nil"/>
                    <w:tr2bl w:val="nil"/>
                  </w:tcBorders>
                  <w:noWrap w:val="0"/>
                  <w:vAlign w:val="center"/>
                </w:tcPr>
                <w:p w14:paraId="3A8235F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385</w:t>
                  </w:r>
                </w:p>
              </w:tc>
            </w:tr>
            <w:tr w14:paraId="5F09E7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0D00FFC0">
                  <w:pPr>
                    <w:snapToGrid w:val="0"/>
                    <w:spacing w:line="36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616A0C10">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053BD7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296" w:type="dxa"/>
                  <w:tcBorders>
                    <w:tl2br w:val="nil"/>
                    <w:tr2bl w:val="nil"/>
                  </w:tcBorders>
                  <w:noWrap w:val="0"/>
                  <w:vAlign w:val="center"/>
                </w:tcPr>
                <w:p w14:paraId="112BF99A">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0.46</w:t>
                  </w:r>
                </w:p>
              </w:tc>
              <w:tc>
                <w:tcPr>
                  <w:tcW w:w="1296" w:type="dxa"/>
                  <w:tcBorders>
                    <w:tl2br w:val="nil"/>
                    <w:tr2bl w:val="nil"/>
                  </w:tcBorders>
                  <w:noWrap w:val="0"/>
                  <w:vAlign w:val="center"/>
                </w:tcPr>
                <w:p w14:paraId="1427D8B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0.51</w:t>
                  </w:r>
                </w:p>
              </w:tc>
              <w:tc>
                <w:tcPr>
                  <w:tcW w:w="1296" w:type="dxa"/>
                  <w:tcBorders>
                    <w:tl2br w:val="nil"/>
                    <w:tr2bl w:val="nil"/>
                  </w:tcBorders>
                  <w:noWrap w:val="0"/>
                  <w:vAlign w:val="center"/>
                </w:tcPr>
                <w:p w14:paraId="2EA2EE12">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0.79</w:t>
                  </w:r>
                </w:p>
              </w:tc>
              <w:tc>
                <w:tcPr>
                  <w:tcW w:w="1298" w:type="dxa"/>
                  <w:tcBorders>
                    <w:tl2br w:val="nil"/>
                    <w:tr2bl w:val="nil"/>
                  </w:tcBorders>
                  <w:noWrap w:val="0"/>
                  <w:vAlign w:val="center"/>
                </w:tcPr>
                <w:p w14:paraId="2B851492">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0.66</w:t>
                  </w:r>
                </w:p>
              </w:tc>
            </w:tr>
            <w:tr w14:paraId="5D4DF8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553FC61D">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restart"/>
                  <w:tcBorders>
                    <w:tl2br w:val="nil"/>
                    <w:tr2bl w:val="nil"/>
                  </w:tcBorders>
                  <w:noWrap w:val="0"/>
                  <w:vAlign w:val="center"/>
                </w:tcPr>
                <w:p w14:paraId="4D921B4D">
                  <w:pPr>
                    <w:snapToGrid w:val="0"/>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#厂界下风向10m内</w:t>
                  </w:r>
                </w:p>
              </w:tc>
              <w:tc>
                <w:tcPr>
                  <w:tcW w:w="1957" w:type="dxa"/>
                  <w:tcBorders>
                    <w:tl2br w:val="nil"/>
                    <w:tr2bl w:val="nil"/>
                  </w:tcBorders>
                  <w:noWrap w:val="0"/>
                  <w:vAlign w:val="center"/>
                </w:tcPr>
                <w:p w14:paraId="7635080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color w:val="000000"/>
                      <w:sz w:val="21"/>
                      <w:szCs w:val="21"/>
                      <w:lang w:val="en-US" w:eastAsia="zh-CN"/>
                    </w:rPr>
                    <w:t>硫化氢</w:t>
                  </w:r>
                </w:p>
              </w:tc>
              <w:tc>
                <w:tcPr>
                  <w:tcW w:w="1296" w:type="dxa"/>
                  <w:tcBorders>
                    <w:tl2br w:val="nil"/>
                    <w:tr2bl w:val="nil"/>
                  </w:tcBorders>
                  <w:noWrap w:val="0"/>
                  <w:vAlign w:val="center"/>
                </w:tcPr>
                <w:p w14:paraId="12208735">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0.023</w:t>
                  </w:r>
                </w:p>
              </w:tc>
              <w:tc>
                <w:tcPr>
                  <w:tcW w:w="1296" w:type="dxa"/>
                  <w:tcBorders>
                    <w:tl2br w:val="nil"/>
                    <w:tr2bl w:val="nil"/>
                  </w:tcBorders>
                  <w:noWrap w:val="0"/>
                  <w:vAlign w:val="center"/>
                </w:tcPr>
                <w:p w14:paraId="6DCA229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0.026</w:t>
                  </w:r>
                </w:p>
              </w:tc>
              <w:tc>
                <w:tcPr>
                  <w:tcW w:w="1296" w:type="dxa"/>
                  <w:tcBorders>
                    <w:tl2br w:val="nil"/>
                    <w:tr2bl w:val="nil"/>
                  </w:tcBorders>
                  <w:noWrap w:val="0"/>
                  <w:vAlign w:val="center"/>
                </w:tcPr>
                <w:p w14:paraId="3DBFBAA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0.021</w:t>
                  </w:r>
                </w:p>
              </w:tc>
              <w:tc>
                <w:tcPr>
                  <w:tcW w:w="1298" w:type="dxa"/>
                  <w:tcBorders>
                    <w:tl2br w:val="nil"/>
                    <w:tr2bl w:val="nil"/>
                  </w:tcBorders>
                  <w:noWrap w:val="0"/>
                  <w:vAlign w:val="center"/>
                </w:tcPr>
                <w:p w14:paraId="3D44E0F5">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0.017</w:t>
                  </w:r>
                </w:p>
              </w:tc>
            </w:tr>
            <w:tr w14:paraId="32D9AA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73E3274D">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769007F7">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15D330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296" w:type="dxa"/>
                  <w:tcBorders>
                    <w:tl2br w:val="nil"/>
                    <w:tr2bl w:val="nil"/>
                  </w:tcBorders>
                  <w:noWrap w:val="0"/>
                  <w:vAlign w:val="center"/>
                </w:tcPr>
                <w:p w14:paraId="5183A97D">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0.91</w:t>
                  </w:r>
                </w:p>
              </w:tc>
              <w:tc>
                <w:tcPr>
                  <w:tcW w:w="1296" w:type="dxa"/>
                  <w:tcBorders>
                    <w:tl2br w:val="nil"/>
                    <w:tr2bl w:val="nil"/>
                  </w:tcBorders>
                  <w:noWrap w:val="0"/>
                  <w:vAlign w:val="center"/>
                </w:tcPr>
                <w:p w14:paraId="0FE541B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0.87</w:t>
                  </w:r>
                </w:p>
              </w:tc>
              <w:tc>
                <w:tcPr>
                  <w:tcW w:w="1296" w:type="dxa"/>
                  <w:tcBorders>
                    <w:tl2br w:val="nil"/>
                    <w:tr2bl w:val="nil"/>
                  </w:tcBorders>
                  <w:noWrap w:val="0"/>
                  <w:vAlign w:val="center"/>
                </w:tcPr>
                <w:p w14:paraId="69E5E197">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0.85</w:t>
                  </w:r>
                </w:p>
              </w:tc>
              <w:tc>
                <w:tcPr>
                  <w:tcW w:w="1298" w:type="dxa"/>
                  <w:tcBorders>
                    <w:tl2br w:val="nil"/>
                    <w:tr2bl w:val="nil"/>
                  </w:tcBorders>
                  <w:noWrap w:val="0"/>
                  <w:vAlign w:val="center"/>
                </w:tcPr>
                <w:p w14:paraId="2594D4B0">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0.81</w:t>
                  </w:r>
                </w:p>
              </w:tc>
            </w:tr>
            <w:tr w14:paraId="61EFE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646F5D1D">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3FDDFD33">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0C37BCD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b w:val="0"/>
                      <w:bCs/>
                      <w:color w:val="000000"/>
                      <w:sz w:val="21"/>
                      <w:szCs w:val="21"/>
                      <w:vertAlign w:val="baseline"/>
                      <w:lang w:val="en-US" w:eastAsia="zh-CN"/>
                    </w:rPr>
                    <w:t>臭气浓度（无量纲）</w:t>
                  </w:r>
                </w:p>
              </w:tc>
              <w:tc>
                <w:tcPr>
                  <w:tcW w:w="1296" w:type="dxa"/>
                  <w:tcBorders>
                    <w:tl2br w:val="nil"/>
                    <w:tr2bl w:val="nil"/>
                  </w:tcBorders>
                  <w:noWrap w:val="0"/>
                  <w:vAlign w:val="center"/>
                </w:tcPr>
                <w:p w14:paraId="13A79F9E">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27CD632A">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34EC2E0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8" w:type="dxa"/>
                  <w:tcBorders>
                    <w:tl2br w:val="nil"/>
                    <w:tr2bl w:val="nil"/>
                  </w:tcBorders>
                  <w:noWrap w:val="0"/>
                  <w:vAlign w:val="center"/>
                </w:tcPr>
                <w:p w14:paraId="7ED4A09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r>
            <w:tr w14:paraId="2E2271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21F1B776">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7F3EA3B0">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00265A9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b w:val="0"/>
                      <w:bCs/>
                      <w:color w:val="000000"/>
                      <w:sz w:val="21"/>
                      <w:szCs w:val="21"/>
                      <w:vertAlign w:val="baseline"/>
                      <w:lang w:val="en-US" w:eastAsia="zh-CN"/>
                    </w:rPr>
                    <w:t>颗粒物</w:t>
                  </w:r>
                  <w:r>
                    <w:rPr>
                      <w:rFonts w:hint="eastAsia"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val="en-US" w:eastAsia="zh-CN"/>
                    </w:rPr>
                    <w:t>μ</w:t>
                  </w:r>
                  <w:r>
                    <w:rPr>
                      <w:rFonts w:hint="eastAsia" w:ascii="Times New Roman" w:hAnsi="Times New Roman" w:cs="Times New Roman"/>
                      <w:b w:val="0"/>
                      <w:bCs/>
                      <w:color w:val="000000"/>
                      <w:sz w:val="21"/>
                      <w:szCs w:val="21"/>
                      <w:vertAlign w:val="baseline"/>
                      <w:lang w:val="en-US" w:eastAsia="zh-CN"/>
                    </w:rPr>
                    <w:t>g/m³）</w:t>
                  </w:r>
                </w:p>
              </w:tc>
              <w:tc>
                <w:tcPr>
                  <w:tcW w:w="1296" w:type="dxa"/>
                  <w:tcBorders>
                    <w:tl2br w:val="nil"/>
                    <w:tr2bl w:val="nil"/>
                  </w:tcBorders>
                  <w:noWrap w:val="0"/>
                  <w:vAlign w:val="center"/>
                </w:tcPr>
                <w:p w14:paraId="5D5758D6">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375</w:t>
                  </w:r>
                </w:p>
              </w:tc>
              <w:tc>
                <w:tcPr>
                  <w:tcW w:w="1296" w:type="dxa"/>
                  <w:tcBorders>
                    <w:tl2br w:val="nil"/>
                    <w:tr2bl w:val="nil"/>
                  </w:tcBorders>
                  <w:noWrap w:val="0"/>
                  <w:vAlign w:val="center"/>
                </w:tcPr>
                <w:p w14:paraId="15D54EA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372</w:t>
                  </w:r>
                </w:p>
              </w:tc>
              <w:tc>
                <w:tcPr>
                  <w:tcW w:w="1296" w:type="dxa"/>
                  <w:tcBorders>
                    <w:tl2br w:val="nil"/>
                    <w:tr2bl w:val="nil"/>
                  </w:tcBorders>
                  <w:noWrap w:val="0"/>
                  <w:vAlign w:val="center"/>
                </w:tcPr>
                <w:p w14:paraId="72DCAB3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388</w:t>
                  </w:r>
                </w:p>
              </w:tc>
              <w:tc>
                <w:tcPr>
                  <w:tcW w:w="1298" w:type="dxa"/>
                  <w:tcBorders>
                    <w:tl2br w:val="nil"/>
                    <w:tr2bl w:val="nil"/>
                  </w:tcBorders>
                  <w:noWrap w:val="0"/>
                  <w:vAlign w:val="center"/>
                </w:tcPr>
                <w:p w14:paraId="66703CC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391</w:t>
                  </w:r>
                </w:p>
              </w:tc>
            </w:tr>
            <w:tr w14:paraId="2D326B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4E660BA9">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1C93A6EE">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225965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296" w:type="dxa"/>
                  <w:tcBorders>
                    <w:tl2br w:val="nil"/>
                    <w:tr2bl w:val="nil"/>
                  </w:tcBorders>
                  <w:noWrap w:val="0"/>
                  <w:vAlign w:val="center"/>
                </w:tcPr>
                <w:p w14:paraId="783C61C1">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0.56</w:t>
                  </w:r>
                </w:p>
              </w:tc>
              <w:tc>
                <w:tcPr>
                  <w:tcW w:w="1296" w:type="dxa"/>
                  <w:tcBorders>
                    <w:tl2br w:val="nil"/>
                    <w:tr2bl w:val="nil"/>
                  </w:tcBorders>
                  <w:noWrap w:val="0"/>
                  <w:vAlign w:val="center"/>
                </w:tcPr>
                <w:p w14:paraId="4C734B82">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0.63</w:t>
                  </w:r>
                </w:p>
              </w:tc>
              <w:tc>
                <w:tcPr>
                  <w:tcW w:w="1296" w:type="dxa"/>
                  <w:tcBorders>
                    <w:tl2br w:val="nil"/>
                    <w:tr2bl w:val="nil"/>
                  </w:tcBorders>
                  <w:noWrap w:val="0"/>
                  <w:vAlign w:val="center"/>
                </w:tcPr>
                <w:p w14:paraId="40A9FF0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0.68</w:t>
                  </w:r>
                </w:p>
              </w:tc>
              <w:tc>
                <w:tcPr>
                  <w:tcW w:w="1298" w:type="dxa"/>
                  <w:tcBorders>
                    <w:tl2br w:val="nil"/>
                    <w:tr2bl w:val="nil"/>
                  </w:tcBorders>
                  <w:noWrap w:val="0"/>
                  <w:vAlign w:val="center"/>
                </w:tcPr>
                <w:p w14:paraId="7B0C89E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0.69</w:t>
                  </w:r>
                </w:p>
              </w:tc>
            </w:tr>
            <w:tr w14:paraId="206496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restart"/>
                  <w:tcBorders>
                    <w:tl2br w:val="nil"/>
                    <w:tr2bl w:val="nil"/>
                  </w:tcBorders>
                  <w:noWrap w:val="0"/>
                  <w:vAlign w:val="center"/>
                </w:tcPr>
                <w:p w14:paraId="4369C282">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6月</w:t>
                  </w:r>
                </w:p>
                <w:p w14:paraId="2295CF25">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r>
                    <w:rPr>
                      <w:rFonts w:hint="eastAsia" w:ascii="Times New Roman" w:hAnsi="Times New Roman" w:eastAsia="宋体" w:cs="Times New Roman"/>
                      <w:color w:val="auto"/>
                      <w:spacing w:val="-12"/>
                      <w:sz w:val="21"/>
                      <w:szCs w:val="21"/>
                      <w:lang w:val="en-US" w:eastAsia="zh-CN"/>
                    </w:rPr>
                    <w:t>1日</w:t>
                  </w:r>
                </w:p>
              </w:tc>
              <w:tc>
                <w:tcPr>
                  <w:tcW w:w="1269" w:type="dxa"/>
                  <w:vMerge w:val="restart"/>
                  <w:tcBorders>
                    <w:tl2br w:val="nil"/>
                    <w:tr2bl w:val="nil"/>
                  </w:tcBorders>
                  <w:noWrap w:val="0"/>
                  <w:vAlign w:val="center"/>
                </w:tcPr>
                <w:p w14:paraId="1A452101">
                  <w:pPr>
                    <w:snapToGrid w:val="0"/>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3#厂界下风向10m内</w:t>
                  </w:r>
                </w:p>
              </w:tc>
              <w:tc>
                <w:tcPr>
                  <w:tcW w:w="1957" w:type="dxa"/>
                  <w:tcBorders>
                    <w:tl2br w:val="nil"/>
                    <w:tr2bl w:val="nil"/>
                  </w:tcBorders>
                  <w:noWrap w:val="0"/>
                  <w:vAlign w:val="center"/>
                </w:tcPr>
                <w:p w14:paraId="5ABABB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color w:val="000000"/>
                      <w:sz w:val="21"/>
                      <w:szCs w:val="21"/>
                      <w:lang w:val="en-US" w:eastAsia="zh-CN"/>
                    </w:rPr>
                    <w:t>硫化氢</w:t>
                  </w:r>
                </w:p>
              </w:tc>
              <w:tc>
                <w:tcPr>
                  <w:tcW w:w="1296" w:type="dxa"/>
                  <w:tcBorders>
                    <w:tl2br w:val="nil"/>
                    <w:tr2bl w:val="nil"/>
                  </w:tcBorders>
                  <w:noWrap w:val="0"/>
                  <w:vAlign w:val="center"/>
                </w:tcPr>
                <w:p w14:paraId="5E528465">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0.021</w:t>
                  </w:r>
                </w:p>
              </w:tc>
              <w:tc>
                <w:tcPr>
                  <w:tcW w:w="1296" w:type="dxa"/>
                  <w:tcBorders>
                    <w:tl2br w:val="nil"/>
                    <w:tr2bl w:val="nil"/>
                  </w:tcBorders>
                  <w:noWrap w:val="0"/>
                  <w:vAlign w:val="center"/>
                </w:tcPr>
                <w:p w14:paraId="4BD7C02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0.023</w:t>
                  </w:r>
                </w:p>
              </w:tc>
              <w:tc>
                <w:tcPr>
                  <w:tcW w:w="1296" w:type="dxa"/>
                  <w:tcBorders>
                    <w:tl2br w:val="nil"/>
                    <w:tr2bl w:val="nil"/>
                  </w:tcBorders>
                  <w:noWrap w:val="0"/>
                  <w:vAlign w:val="center"/>
                </w:tcPr>
                <w:p w14:paraId="0269D81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0.022</w:t>
                  </w:r>
                </w:p>
              </w:tc>
              <w:tc>
                <w:tcPr>
                  <w:tcW w:w="1298" w:type="dxa"/>
                  <w:tcBorders>
                    <w:tl2br w:val="nil"/>
                    <w:tr2bl w:val="nil"/>
                  </w:tcBorders>
                  <w:noWrap w:val="0"/>
                  <w:vAlign w:val="center"/>
                </w:tcPr>
                <w:p w14:paraId="17181492">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0.016</w:t>
                  </w:r>
                </w:p>
              </w:tc>
            </w:tr>
            <w:tr w14:paraId="3CB245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62A18ED6">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75D0B4C3">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7603E66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296" w:type="dxa"/>
                  <w:tcBorders>
                    <w:tl2br w:val="nil"/>
                    <w:tr2bl w:val="nil"/>
                  </w:tcBorders>
                  <w:noWrap w:val="0"/>
                  <w:vAlign w:val="center"/>
                </w:tcPr>
                <w:p w14:paraId="7CC438ED">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0.92</w:t>
                  </w:r>
                </w:p>
              </w:tc>
              <w:tc>
                <w:tcPr>
                  <w:tcW w:w="1296" w:type="dxa"/>
                  <w:tcBorders>
                    <w:tl2br w:val="nil"/>
                    <w:tr2bl w:val="nil"/>
                  </w:tcBorders>
                  <w:noWrap w:val="0"/>
                  <w:vAlign w:val="center"/>
                </w:tcPr>
                <w:p w14:paraId="605F491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0.88</w:t>
                  </w:r>
                </w:p>
              </w:tc>
              <w:tc>
                <w:tcPr>
                  <w:tcW w:w="1296" w:type="dxa"/>
                  <w:tcBorders>
                    <w:tl2br w:val="nil"/>
                    <w:tr2bl w:val="nil"/>
                  </w:tcBorders>
                  <w:noWrap w:val="0"/>
                  <w:vAlign w:val="center"/>
                </w:tcPr>
                <w:p w14:paraId="24F7D1B9">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0.87</w:t>
                  </w:r>
                </w:p>
              </w:tc>
              <w:tc>
                <w:tcPr>
                  <w:tcW w:w="1298" w:type="dxa"/>
                  <w:tcBorders>
                    <w:tl2br w:val="nil"/>
                    <w:tr2bl w:val="nil"/>
                  </w:tcBorders>
                  <w:noWrap w:val="0"/>
                  <w:vAlign w:val="center"/>
                </w:tcPr>
                <w:p w14:paraId="7072FC9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0.82</w:t>
                  </w:r>
                </w:p>
              </w:tc>
            </w:tr>
            <w:tr w14:paraId="3FE927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0525E3C4">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38F32426">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7BBAE6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b w:val="0"/>
                      <w:bCs/>
                      <w:color w:val="000000"/>
                      <w:sz w:val="21"/>
                      <w:szCs w:val="21"/>
                      <w:vertAlign w:val="baseline"/>
                      <w:lang w:val="en-US" w:eastAsia="zh-CN"/>
                    </w:rPr>
                    <w:t>臭气浓度（无量纲）</w:t>
                  </w:r>
                </w:p>
              </w:tc>
              <w:tc>
                <w:tcPr>
                  <w:tcW w:w="1296" w:type="dxa"/>
                  <w:tcBorders>
                    <w:tl2br w:val="nil"/>
                    <w:tr2bl w:val="nil"/>
                  </w:tcBorders>
                  <w:noWrap w:val="0"/>
                  <w:vAlign w:val="center"/>
                </w:tcPr>
                <w:p w14:paraId="23083BFB">
                  <w:pPr>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309A9CFE">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40E17021">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8" w:type="dxa"/>
                  <w:tcBorders>
                    <w:tl2br w:val="nil"/>
                    <w:tr2bl w:val="nil"/>
                  </w:tcBorders>
                  <w:noWrap w:val="0"/>
                  <w:vAlign w:val="center"/>
                </w:tcPr>
                <w:p w14:paraId="4756E068">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r>
            <w:tr w14:paraId="04A7A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6910386D">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27A58B50">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11EA0C8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default" w:ascii="Times New Roman" w:hAnsi="Times New Roman" w:cs="Times New Roman"/>
                      <w:b w:val="0"/>
                      <w:bCs/>
                      <w:color w:val="000000"/>
                      <w:sz w:val="21"/>
                      <w:szCs w:val="21"/>
                      <w:vertAlign w:val="baseline"/>
                      <w:lang w:val="en-US" w:eastAsia="zh-CN"/>
                    </w:rPr>
                    <w:t>颗粒物</w:t>
                  </w:r>
                  <w:r>
                    <w:rPr>
                      <w:rFonts w:hint="eastAsia"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val="en-US" w:eastAsia="zh-CN"/>
                    </w:rPr>
                    <w:t>μ</w:t>
                  </w:r>
                  <w:r>
                    <w:rPr>
                      <w:rFonts w:hint="eastAsia" w:ascii="Times New Roman" w:hAnsi="Times New Roman" w:cs="Times New Roman"/>
                      <w:b w:val="0"/>
                      <w:bCs/>
                      <w:color w:val="000000"/>
                      <w:sz w:val="21"/>
                      <w:szCs w:val="21"/>
                      <w:vertAlign w:val="baseline"/>
                      <w:lang w:val="en-US" w:eastAsia="zh-CN"/>
                    </w:rPr>
                    <w:t>g/m³）</w:t>
                  </w:r>
                </w:p>
              </w:tc>
              <w:tc>
                <w:tcPr>
                  <w:tcW w:w="1296" w:type="dxa"/>
                  <w:tcBorders>
                    <w:tl2br w:val="nil"/>
                    <w:tr2bl w:val="nil"/>
                  </w:tcBorders>
                  <w:noWrap w:val="0"/>
                  <w:vAlign w:val="center"/>
                </w:tcPr>
                <w:p w14:paraId="76079212">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381</w:t>
                  </w:r>
                </w:p>
              </w:tc>
              <w:tc>
                <w:tcPr>
                  <w:tcW w:w="1296" w:type="dxa"/>
                  <w:tcBorders>
                    <w:tl2br w:val="nil"/>
                    <w:tr2bl w:val="nil"/>
                  </w:tcBorders>
                  <w:noWrap w:val="0"/>
                  <w:vAlign w:val="center"/>
                </w:tcPr>
                <w:p w14:paraId="08E27E0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388</w:t>
                  </w:r>
                </w:p>
              </w:tc>
              <w:tc>
                <w:tcPr>
                  <w:tcW w:w="1296" w:type="dxa"/>
                  <w:tcBorders>
                    <w:tl2br w:val="nil"/>
                    <w:tr2bl w:val="nil"/>
                  </w:tcBorders>
                  <w:noWrap w:val="0"/>
                  <w:vAlign w:val="center"/>
                </w:tcPr>
                <w:p w14:paraId="4D910C00">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398</w:t>
                  </w:r>
                </w:p>
              </w:tc>
              <w:tc>
                <w:tcPr>
                  <w:tcW w:w="1298" w:type="dxa"/>
                  <w:tcBorders>
                    <w:tl2br w:val="nil"/>
                    <w:tr2bl w:val="nil"/>
                  </w:tcBorders>
                  <w:noWrap w:val="0"/>
                  <w:vAlign w:val="center"/>
                </w:tcPr>
                <w:p w14:paraId="4B73712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404</w:t>
                  </w:r>
                </w:p>
              </w:tc>
            </w:tr>
            <w:tr w14:paraId="43F74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793457A1">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78DA2F65">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18116E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eastAsia="宋体"/>
                      <w:color w:val="auto"/>
                      <w:sz w:val="21"/>
                      <w:szCs w:val="21"/>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296" w:type="dxa"/>
                  <w:tcBorders>
                    <w:tl2br w:val="nil"/>
                    <w:tr2bl w:val="nil"/>
                  </w:tcBorders>
                  <w:noWrap w:val="0"/>
                  <w:vAlign w:val="center"/>
                </w:tcPr>
                <w:p w14:paraId="7368096E">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0.74</w:t>
                  </w:r>
                </w:p>
              </w:tc>
              <w:tc>
                <w:tcPr>
                  <w:tcW w:w="1296" w:type="dxa"/>
                  <w:tcBorders>
                    <w:tl2br w:val="nil"/>
                    <w:tr2bl w:val="nil"/>
                  </w:tcBorders>
                  <w:noWrap w:val="0"/>
                  <w:vAlign w:val="center"/>
                </w:tcPr>
                <w:p w14:paraId="261444F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0.85</w:t>
                  </w:r>
                </w:p>
              </w:tc>
              <w:tc>
                <w:tcPr>
                  <w:tcW w:w="1296" w:type="dxa"/>
                  <w:tcBorders>
                    <w:tl2br w:val="nil"/>
                    <w:tr2bl w:val="nil"/>
                  </w:tcBorders>
                  <w:noWrap w:val="0"/>
                  <w:vAlign w:val="center"/>
                </w:tcPr>
                <w:p w14:paraId="20121B8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0.84</w:t>
                  </w:r>
                </w:p>
              </w:tc>
              <w:tc>
                <w:tcPr>
                  <w:tcW w:w="1298" w:type="dxa"/>
                  <w:tcBorders>
                    <w:tl2br w:val="nil"/>
                    <w:tr2bl w:val="nil"/>
                  </w:tcBorders>
                  <w:noWrap w:val="0"/>
                  <w:vAlign w:val="center"/>
                </w:tcPr>
                <w:p w14:paraId="591A29A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0.96</w:t>
                  </w:r>
                </w:p>
              </w:tc>
            </w:tr>
            <w:tr w14:paraId="55435E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restart"/>
                  <w:tcBorders>
                    <w:tl2br w:val="nil"/>
                    <w:tr2bl w:val="nil"/>
                  </w:tcBorders>
                  <w:noWrap w:val="0"/>
                  <w:vAlign w:val="center"/>
                </w:tcPr>
                <w:p w14:paraId="48B0B770">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6月</w:t>
                  </w:r>
                </w:p>
                <w:p w14:paraId="4BF34549">
                  <w:pPr>
                    <w:snapToGrid w:val="0"/>
                    <w:spacing w:line="360" w:lineRule="auto"/>
                    <w:jc w:val="center"/>
                    <w:rPr>
                      <w:rFonts w:hint="default" w:ascii="Times New Roman" w:hAnsi="Times New Roman" w:eastAsia="宋体" w:cs="Times New Roman"/>
                      <w:color w:val="auto"/>
                      <w:kern w:val="2"/>
                      <w:position w:val="6"/>
                      <w:sz w:val="21"/>
                      <w:szCs w:val="21"/>
                    </w:rPr>
                  </w:pPr>
                  <w:r>
                    <w:rPr>
                      <w:rFonts w:hint="eastAsia" w:ascii="Times New Roman" w:hAnsi="Times New Roman" w:eastAsia="宋体" w:cs="Times New Roman"/>
                      <w:color w:val="auto"/>
                      <w:spacing w:val="-12"/>
                      <w:sz w:val="21"/>
                      <w:szCs w:val="21"/>
                      <w:lang w:val="en-US" w:eastAsia="zh-CN"/>
                    </w:rPr>
                    <w:t>2日</w:t>
                  </w:r>
                </w:p>
              </w:tc>
              <w:tc>
                <w:tcPr>
                  <w:tcW w:w="1269" w:type="dxa"/>
                  <w:vMerge w:val="restart"/>
                  <w:tcBorders>
                    <w:tl2br w:val="nil"/>
                    <w:tr2bl w:val="nil"/>
                  </w:tcBorders>
                  <w:noWrap w:val="0"/>
                  <w:vAlign w:val="center"/>
                </w:tcPr>
                <w:p w14:paraId="081B35D3">
                  <w:pPr>
                    <w:snapToGrid w:val="0"/>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#厂界下风向10m内</w:t>
                  </w:r>
                </w:p>
              </w:tc>
              <w:tc>
                <w:tcPr>
                  <w:tcW w:w="1957" w:type="dxa"/>
                  <w:tcBorders>
                    <w:tl2br w:val="nil"/>
                    <w:tr2bl w:val="nil"/>
                  </w:tcBorders>
                  <w:noWrap w:val="0"/>
                  <w:vAlign w:val="center"/>
                </w:tcPr>
                <w:p w14:paraId="0C59C9C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color w:val="000000"/>
                      <w:sz w:val="21"/>
                      <w:szCs w:val="21"/>
                      <w:lang w:val="en-US" w:eastAsia="zh-CN"/>
                    </w:rPr>
                    <w:t>硫化氢</w:t>
                  </w:r>
                </w:p>
              </w:tc>
              <w:tc>
                <w:tcPr>
                  <w:tcW w:w="1296" w:type="dxa"/>
                  <w:tcBorders>
                    <w:tl2br w:val="nil"/>
                    <w:tr2bl w:val="nil"/>
                  </w:tcBorders>
                  <w:noWrap w:val="0"/>
                  <w:vAlign w:val="center"/>
                </w:tcPr>
                <w:p w14:paraId="6BE4A771">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0.025</w:t>
                  </w:r>
                </w:p>
              </w:tc>
              <w:tc>
                <w:tcPr>
                  <w:tcW w:w="1296" w:type="dxa"/>
                  <w:tcBorders>
                    <w:tl2br w:val="nil"/>
                    <w:tr2bl w:val="nil"/>
                  </w:tcBorders>
                  <w:noWrap w:val="0"/>
                  <w:vAlign w:val="center"/>
                </w:tcPr>
                <w:p w14:paraId="1208AEB9">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0.023</w:t>
                  </w:r>
                </w:p>
              </w:tc>
              <w:tc>
                <w:tcPr>
                  <w:tcW w:w="1296" w:type="dxa"/>
                  <w:tcBorders>
                    <w:tl2br w:val="nil"/>
                    <w:tr2bl w:val="nil"/>
                  </w:tcBorders>
                  <w:noWrap w:val="0"/>
                  <w:vAlign w:val="center"/>
                </w:tcPr>
                <w:p w14:paraId="1822D76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0.021</w:t>
                  </w:r>
                </w:p>
              </w:tc>
              <w:tc>
                <w:tcPr>
                  <w:tcW w:w="1298" w:type="dxa"/>
                  <w:tcBorders>
                    <w:tl2br w:val="nil"/>
                    <w:tr2bl w:val="nil"/>
                  </w:tcBorders>
                  <w:noWrap w:val="0"/>
                  <w:vAlign w:val="center"/>
                </w:tcPr>
                <w:p w14:paraId="3DAFD992">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0.019</w:t>
                  </w:r>
                </w:p>
              </w:tc>
            </w:tr>
            <w:tr w14:paraId="2A86F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55D15496">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2455F58C">
                  <w:pPr>
                    <w:pStyle w:val="29"/>
                    <w:spacing w:before="0" w:beforeAutospacing="0" w:after="0" w:afterAutospacing="0"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4C4DB2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296" w:type="dxa"/>
                  <w:tcBorders>
                    <w:tl2br w:val="nil"/>
                    <w:tr2bl w:val="nil"/>
                  </w:tcBorders>
                  <w:noWrap w:val="0"/>
                  <w:vAlign w:val="center"/>
                </w:tcPr>
                <w:p w14:paraId="0669942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0.91</w:t>
                  </w:r>
                </w:p>
              </w:tc>
              <w:tc>
                <w:tcPr>
                  <w:tcW w:w="1296" w:type="dxa"/>
                  <w:tcBorders>
                    <w:tl2br w:val="nil"/>
                    <w:tr2bl w:val="nil"/>
                  </w:tcBorders>
                  <w:noWrap w:val="0"/>
                  <w:vAlign w:val="center"/>
                </w:tcPr>
                <w:p w14:paraId="677A8587">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0.87</w:t>
                  </w:r>
                </w:p>
              </w:tc>
              <w:tc>
                <w:tcPr>
                  <w:tcW w:w="1296" w:type="dxa"/>
                  <w:tcBorders>
                    <w:tl2br w:val="nil"/>
                    <w:tr2bl w:val="nil"/>
                  </w:tcBorders>
                  <w:noWrap w:val="0"/>
                  <w:vAlign w:val="center"/>
                </w:tcPr>
                <w:p w14:paraId="299838A7">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0.84</w:t>
                  </w:r>
                </w:p>
              </w:tc>
              <w:tc>
                <w:tcPr>
                  <w:tcW w:w="1298" w:type="dxa"/>
                  <w:tcBorders>
                    <w:tl2br w:val="nil"/>
                    <w:tr2bl w:val="nil"/>
                  </w:tcBorders>
                  <w:noWrap w:val="0"/>
                  <w:vAlign w:val="center"/>
                </w:tcPr>
                <w:p w14:paraId="11369389">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0.80</w:t>
                  </w:r>
                </w:p>
              </w:tc>
            </w:tr>
            <w:tr w14:paraId="231C8D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77B96F37">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7C8C50D6">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372BBB2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臭气浓度（无量纲）</w:t>
                  </w:r>
                </w:p>
              </w:tc>
              <w:tc>
                <w:tcPr>
                  <w:tcW w:w="1296" w:type="dxa"/>
                  <w:tcBorders>
                    <w:tl2br w:val="nil"/>
                    <w:tr2bl w:val="nil"/>
                  </w:tcBorders>
                  <w:noWrap w:val="0"/>
                  <w:vAlign w:val="center"/>
                </w:tcPr>
                <w:p w14:paraId="7F1CAB4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21E206A1">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57A37104">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8" w:type="dxa"/>
                  <w:tcBorders>
                    <w:tl2br w:val="nil"/>
                    <w:tr2bl w:val="nil"/>
                  </w:tcBorders>
                  <w:noWrap w:val="0"/>
                  <w:vAlign w:val="center"/>
                </w:tcPr>
                <w:p w14:paraId="30245D11">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r>
            <w:tr w14:paraId="02AC47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63FB7CEF">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0B919B14">
                  <w:pPr>
                    <w:snapToGrid w:val="0"/>
                    <w:spacing w:line="36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4868349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颗粒物</w:t>
                  </w:r>
                  <w:r>
                    <w:rPr>
                      <w:rFonts w:hint="eastAsia"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val="en-US" w:eastAsia="zh-CN"/>
                    </w:rPr>
                    <w:t>μ</w:t>
                  </w:r>
                  <w:r>
                    <w:rPr>
                      <w:rFonts w:hint="eastAsia" w:ascii="Times New Roman" w:hAnsi="Times New Roman" w:cs="Times New Roman"/>
                      <w:b w:val="0"/>
                      <w:bCs/>
                      <w:color w:val="000000"/>
                      <w:sz w:val="21"/>
                      <w:szCs w:val="21"/>
                      <w:vertAlign w:val="baseline"/>
                      <w:lang w:val="en-US" w:eastAsia="zh-CN"/>
                    </w:rPr>
                    <w:t>g/m³）</w:t>
                  </w:r>
                </w:p>
              </w:tc>
              <w:tc>
                <w:tcPr>
                  <w:tcW w:w="1296" w:type="dxa"/>
                  <w:tcBorders>
                    <w:tl2br w:val="nil"/>
                    <w:tr2bl w:val="nil"/>
                  </w:tcBorders>
                  <w:noWrap w:val="0"/>
                  <w:vAlign w:val="center"/>
                </w:tcPr>
                <w:p w14:paraId="73203EE5">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406</w:t>
                  </w:r>
                </w:p>
              </w:tc>
              <w:tc>
                <w:tcPr>
                  <w:tcW w:w="1296" w:type="dxa"/>
                  <w:tcBorders>
                    <w:tl2br w:val="nil"/>
                    <w:tr2bl w:val="nil"/>
                  </w:tcBorders>
                  <w:noWrap w:val="0"/>
                  <w:vAlign w:val="center"/>
                </w:tcPr>
                <w:p w14:paraId="27C131F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416</w:t>
                  </w:r>
                </w:p>
              </w:tc>
              <w:tc>
                <w:tcPr>
                  <w:tcW w:w="1296" w:type="dxa"/>
                  <w:tcBorders>
                    <w:tl2br w:val="nil"/>
                    <w:tr2bl w:val="nil"/>
                  </w:tcBorders>
                  <w:noWrap w:val="0"/>
                  <w:vAlign w:val="center"/>
                </w:tcPr>
                <w:p w14:paraId="6CF91D3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420</w:t>
                  </w:r>
                </w:p>
              </w:tc>
              <w:tc>
                <w:tcPr>
                  <w:tcW w:w="1298" w:type="dxa"/>
                  <w:tcBorders>
                    <w:tl2br w:val="nil"/>
                    <w:tr2bl w:val="nil"/>
                  </w:tcBorders>
                  <w:noWrap w:val="0"/>
                  <w:vAlign w:val="center"/>
                </w:tcPr>
                <w:p w14:paraId="4426176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432</w:t>
                  </w:r>
                </w:p>
              </w:tc>
            </w:tr>
            <w:tr w14:paraId="6F8EEF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4F3F152A">
                  <w:pPr>
                    <w:snapToGrid w:val="0"/>
                    <w:spacing w:line="36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1440BCC4">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374EFE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296" w:type="dxa"/>
                  <w:tcBorders>
                    <w:tl2br w:val="nil"/>
                    <w:tr2bl w:val="nil"/>
                  </w:tcBorders>
                  <w:noWrap w:val="0"/>
                  <w:vAlign w:val="center"/>
                </w:tcPr>
                <w:p w14:paraId="72579072">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0.87</w:t>
                  </w:r>
                </w:p>
              </w:tc>
              <w:tc>
                <w:tcPr>
                  <w:tcW w:w="1296" w:type="dxa"/>
                  <w:tcBorders>
                    <w:tl2br w:val="nil"/>
                    <w:tr2bl w:val="nil"/>
                  </w:tcBorders>
                  <w:noWrap w:val="0"/>
                  <w:vAlign w:val="center"/>
                </w:tcPr>
                <w:p w14:paraId="1CC28F2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0.99</w:t>
                  </w:r>
                </w:p>
              </w:tc>
              <w:tc>
                <w:tcPr>
                  <w:tcW w:w="1296" w:type="dxa"/>
                  <w:tcBorders>
                    <w:tl2br w:val="nil"/>
                    <w:tr2bl w:val="nil"/>
                  </w:tcBorders>
                  <w:noWrap w:val="0"/>
                  <w:vAlign w:val="center"/>
                </w:tcPr>
                <w:p w14:paraId="127243C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1.18</w:t>
                  </w:r>
                </w:p>
              </w:tc>
              <w:tc>
                <w:tcPr>
                  <w:tcW w:w="1298" w:type="dxa"/>
                  <w:tcBorders>
                    <w:tl2br w:val="nil"/>
                    <w:tr2bl w:val="nil"/>
                  </w:tcBorders>
                  <w:noWrap w:val="0"/>
                  <w:vAlign w:val="center"/>
                </w:tcPr>
                <w:p w14:paraId="6D36FA5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1.13</w:t>
                  </w:r>
                </w:p>
              </w:tc>
            </w:tr>
            <w:tr w14:paraId="7E1B5C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17BC0B4C">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restart"/>
                  <w:tcBorders>
                    <w:tl2br w:val="nil"/>
                    <w:tr2bl w:val="nil"/>
                  </w:tcBorders>
                  <w:noWrap w:val="0"/>
                  <w:vAlign w:val="center"/>
                </w:tcPr>
                <w:p w14:paraId="0C7B14C8">
                  <w:pPr>
                    <w:snapToGrid w:val="0"/>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#厂界下风向10m内</w:t>
                  </w:r>
                </w:p>
              </w:tc>
              <w:tc>
                <w:tcPr>
                  <w:tcW w:w="1957" w:type="dxa"/>
                  <w:tcBorders>
                    <w:tl2br w:val="nil"/>
                    <w:tr2bl w:val="nil"/>
                  </w:tcBorders>
                  <w:noWrap w:val="0"/>
                  <w:vAlign w:val="center"/>
                </w:tcPr>
                <w:p w14:paraId="0554B2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color w:val="000000"/>
                      <w:sz w:val="21"/>
                      <w:szCs w:val="21"/>
                      <w:lang w:val="en-US" w:eastAsia="zh-CN"/>
                    </w:rPr>
                    <w:t>硫化氢</w:t>
                  </w:r>
                </w:p>
              </w:tc>
              <w:tc>
                <w:tcPr>
                  <w:tcW w:w="1296" w:type="dxa"/>
                  <w:tcBorders>
                    <w:tl2br w:val="nil"/>
                    <w:tr2bl w:val="nil"/>
                  </w:tcBorders>
                  <w:noWrap w:val="0"/>
                  <w:vAlign w:val="center"/>
                </w:tcPr>
                <w:p w14:paraId="75E9B1E9">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0.024</w:t>
                  </w:r>
                </w:p>
              </w:tc>
              <w:tc>
                <w:tcPr>
                  <w:tcW w:w="1296" w:type="dxa"/>
                  <w:tcBorders>
                    <w:tl2br w:val="nil"/>
                    <w:tr2bl w:val="nil"/>
                  </w:tcBorders>
                  <w:noWrap w:val="0"/>
                  <w:vAlign w:val="center"/>
                </w:tcPr>
                <w:p w14:paraId="43D27800">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0.022</w:t>
                  </w:r>
                </w:p>
              </w:tc>
              <w:tc>
                <w:tcPr>
                  <w:tcW w:w="1296" w:type="dxa"/>
                  <w:tcBorders>
                    <w:tl2br w:val="nil"/>
                    <w:tr2bl w:val="nil"/>
                  </w:tcBorders>
                  <w:noWrap w:val="0"/>
                  <w:vAlign w:val="center"/>
                </w:tcPr>
                <w:p w14:paraId="58BFB98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0.019</w:t>
                  </w:r>
                </w:p>
              </w:tc>
              <w:tc>
                <w:tcPr>
                  <w:tcW w:w="1298" w:type="dxa"/>
                  <w:tcBorders>
                    <w:tl2br w:val="nil"/>
                    <w:tr2bl w:val="nil"/>
                  </w:tcBorders>
                  <w:noWrap w:val="0"/>
                  <w:vAlign w:val="center"/>
                </w:tcPr>
                <w:p w14:paraId="0B4EE8B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0.016</w:t>
                  </w:r>
                </w:p>
              </w:tc>
            </w:tr>
            <w:tr w14:paraId="5E8D2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3310F61A">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67E61F1D">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3478F0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296" w:type="dxa"/>
                  <w:tcBorders>
                    <w:tl2br w:val="nil"/>
                    <w:tr2bl w:val="nil"/>
                  </w:tcBorders>
                  <w:noWrap w:val="0"/>
                  <w:vAlign w:val="center"/>
                </w:tcPr>
                <w:p w14:paraId="749BA938">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0.89</w:t>
                  </w:r>
                </w:p>
              </w:tc>
              <w:tc>
                <w:tcPr>
                  <w:tcW w:w="1296" w:type="dxa"/>
                  <w:tcBorders>
                    <w:tl2br w:val="nil"/>
                    <w:tr2bl w:val="nil"/>
                  </w:tcBorders>
                  <w:noWrap w:val="0"/>
                  <w:vAlign w:val="center"/>
                </w:tcPr>
                <w:p w14:paraId="7E7ABFCB">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0.85</w:t>
                  </w:r>
                </w:p>
              </w:tc>
              <w:tc>
                <w:tcPr>
                  <w:tcW w:w="1296" w:type="dxa"/>
                  <w:tcBorders>
                    <w:tl2br w:val="nil"/>
                    <w:tr2bl w:val="nil"/>
                  </w:tcBorders>
                  <w:noWrap w:val="0"/>
                  <w:vAlign w:val="center"/>
                </w:tcPr>
                <w:p w14:paraId="197408E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0.83</w:t>
                  </w:r>
                </w:p>
              </w:tc>
              <w:tc>
                <w:tcPr>
                  <w:tcW w:w="1298" w:type="dxa"/>
                  <w:tcBorders>
                    <w:tl2br w:val="nil"/>
                    <w:tr2bl w:val="nil"/>
                  </w:tcBorders>
                  <w:noWrap w:val="0"/>
                  <w:vAlign w:val="center"/>
                </w:tcPr>
                <w:p w14:paraId="7EF09EB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0.79</w:t>
                  </w:r>
                </w:p>
              </w:tc>
            </w:tr>
            <w:tr w14:paraId="15D0A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47CABBBC">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429706FB">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56BC332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臭气浓度（无量纲）</w:t>
                  </w:r>
                </w:p>
              </w:tc>
              <w:tc>
                <w:tcPr>
                  <w:tcW w:w="1296" w:type="dxa"/>
                  <w:tcBorders>
                    <w:tl2br w:val="nil"/>
                    <w:tr2bl w:val="nil"/>
                  </w:tcBorders>
                  <w:noWrap w:val="0"/>
                  <w:vAlign w:val="center"/>
                </w:tcPr>
                <w:p w14:paraId="2ABCB1BD">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0D0A5F2F">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0B3046B9">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8" w:type="dxa"/>
                  <w:tcBorders>
                    <w:tl2br w:val="nil"/>
                    <w:tr2bl w:val="nil"/>
                  </w:tcBorders>
                  <w:noWrap w:val="0"/>
                  <w:vAlign w:val="center"/>
                </w:tcPr>
                <w:p w14:paraId="6DC1177F">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r>
            <w:tr w14:paraId="72E5B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053F2878">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4015770F">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4696E7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颗粒物</w:t>
                  </w:r>
                  <w:r>
                    <w:rPr>
                      <w:rFonts w:hint="eastAsia"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val="en-US" w:eastAsia="zh-CN"/>
                    </w:rPr>
                    <w:t>μ</w:t>
                  </w:r>
                  <w:r>
                    <w:rPr>
                      <w:rFonts w:hint="eastAsia" w:ascii="Times New Roman" w:hAnsi="Times New Roman" w:cs="Times New Roman"/>
                      <w:b w:val="0"/>
                      <w:bCs/>
                      <w:color w:val="000000"/>
                      <w:sz w:val="21"/>
                      <w:szCs w:val="21"/>
                      <w:vertAlign w:val="baseline"/>
                      <w:lang w:val="en-US" w:eastAsia="zh-CN"/>
                    </w:rPr>
                    <w:t>g/m³）</w:t>
                  </w:r>
                </w:p>
              </w:tc>
              <w:tc>
                <w:tcPr>
                  <w:tcW w:w="1296" w:type="dxa"/>
                  <w:tcBorders>
                    <w:tl2br w:val="nil"/>
                    <w:tr2bl w:val="nil"/>
                  </w:tcBorders>
                  <w:noWrap w:val="0"/>
                  <w:vAlign w:val="center"/>
                </w:tcPr>
                <w:p w14:paraId="673E05BC">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408</w:t>
                  </w:r>
                </w:p>
              </w:tc>
              <w:tc>
                <w:tcPr>
                  <w:tcW w:w="1296" w:type="dxa"/>
                  <w:tcBorders>
                    <w:tl2br w:val="nil"/>
                    <w:tr2bl w:val="nil"/>
                  </w:tcBorders>
                  <w:noWrap w:val="0"/>
                  <w:vAlign w:val="center"/>
                </w:tcPr>
                <w:p w14:paraId="08D7DDE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422</w:t>
                  </w:r>
                </w:p>
              </w:tc>
              <w:tc>
                <w:tcPr>
                  <w:tcW w:w="1296" w:type="dxa"/>
                  <w:tcBorders>
                    <w:tl2br w:val="nil"/>
                    <w:tr2bl w:val="nil"/>
                  </w:tcBorders>
                  <w:noWrap w:val="0"/>
                  <w:vAlign w:val="center"/>
                </w:tcPr>
                <w:p w14:paraId="0AA48E34">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432</w:t>
                  </w:r>
                </w:p>
              </w:tc>
              <w:tc>
                <w:tcPr>
                  <w:tcW w:w="1298" w:type="dxa"/>
                  <w:tcBorders>
                    <w:tl2br w:val="nil"/>
                    <w:tr2bl w:val="nil"/>
                  </w:tcBorders>
                  <w:noWrap w:val="0"/>
                  <w:vAlign w:val="center"/>
                </w:tcPr>
                <w:p w14:paraId="30BAC24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438</w:t>
                  </w:r>
                </w:p>
              </w:tc>
            </w:tr>
            <w:tr w14:paraId="30ADE4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70A7EC8E">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05F0CA8C">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2250FB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296" w:type="dxa"/>
                  <w:tcBorders>
                    <w:tl2br w:val="nil"/>
                    <w:tr2bl w:val="nil"/>
                  </w:tcBorders>
                  <w:noWrap w:val="0"/>
                  <w:vAlign w:val="center"/>
                </w:tcPr>
                <w:p w14:paraId="113526AA">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0.93</w:t>
                  </w:r>
                </w:p>
              </w:tc>
              <w:tc>
                <w:tcPr>
                  <w:tcW w:w="1296" w:type="dxa"/>
                  <w:tcBorders>
                    <w:tl2br w:val="nil"/>
                    <w:tr2bl w:val="nil"/>
                  </w:tcBorders>
                  <w:noWrap w:val="0"/>
                  <w:vAlign w:val="center"/>
                </w:tcPr>
                <w:p w14:paraId="3DAB2A3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0.97</w:t>
                  </w:r>
                </w:p>
              </w:tc>
              <w:tc>
                <w:tcPr>
                  <w:tcW w:w="1296" w:type="dxa"/>
                  <w:tcBorders>
                    <w:tl2br w:val="nil"/>
                    <w:tr2bl w:val="nil"/>
                  </w:tcBorders>
                  <w:noWrap w:val="0"/>
                  <w:vAlign w:val="center"/>
                </w:tcPr>
                <w:p w14:paraId="2E134BC6">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0.93</w:t>
                  </w:r>
                </w:p>
              </w:tc>
              <w:tc>
                <w:tcPr>
                  <w:tcW w:w="1298" w:type="dxa"/>
                  <w:tcBorders>
                    <w:tl2br w:val="nil"/>
                    <w:tr2bl w:val="nil"/>
                  </w:tcBorders>
                  <w:noWrap w:val="0"/>
                  <w:vAlign w:val="center"/>
                </w:tcPr>
                <w:p w14:paraId="6F7B9849">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1.17</w:t>
                  </w:r>
                </w:p>
              </w:tc>
            </w:tr>
            <w:tr w14:paraId="5BF54E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restart"/>
                  <w:tcBorders>
                    <w:tl2br w:val="nil"/>
                    <w:tr2bl w:val="nil"/>
                  </w:tcBorders>
                  <w:noWrap w:val="0"/>
                  <w:vAlign w:val="center"/>
                </w:tcPr>
                <w:p w14:paraId="5C2CD94E">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6月</w:t>
                  </w:r>
                </w:p>
                <w:p w14:paraId="741B86FC">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r>
                    <w:rPr>
                      <w:rFonts w:hint="eastAsia" w:ascii="Times New Roman" w:hAnsi="Times New Roman" w:eastAsia="宋体" w:cs="Times New Roman"/>
                      <w:color w:val="auto"/>
                      <w:spacing w:val="-12"/>
                      <w:sz w:val="21"/>
                      <w:szCs w:val="21"/>
                      <w:lang w:val="en-US" w:eastAsia="zh-CN"/>
                    </w:rPr>
                    <w:t>2日</w:t>
                  </w:r>
                </w:p>
              </w:tc>
              <w:tc>
                <w:tcPr>
                  <w:tcW w:w="1269" w:type="dxa"/>
                  <w:vMerge w:val="restart"/>
                  <w:tcBorders>
                    <w:tl2br w:val="nil"/>
                    <w:tr2bl w:val="nil"/>
                  </w:tcBorders>
                  <w:noWrap w:val="0"/>
                  <w:vAlign w:val="center"/>
                </w:tcPr>
                <w:p w14:paraId="38B47178">
                  <w:pPr>
                    <w:snapToGrid w:val="0"/>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3#厂界下风向10m内</w:t>
                  </w:r>
                </w:p>
              </w:tc>
              <w:tc>
                <w:tcPr>
                  <w:tcW w:w="1957" w:type="dxa"/>
                  <w:tcBorders>
                    <w:tl2br w:val="nil"/>
                    <w:tr2bl w:val="nil"/>
                  </w:tcBorders>
                  <w:noWrap w:val="0"/>
                  <w:vAlign w:val="center"/>
                </w:tcPr>
                <w:p w14:paraId="0D409A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color w:val="000000"/>
                      <w:sz w:val="21"/>
                      <w:szCs w:val="21"/>
                      <w:lang w:val="en-US" w:eastAsia="zh-CN"/>
                    </w:rPr>
                    <w:t>硫化氢</w:t>
                  </w:r>
                </w:p>
              </w:tc>
              <w:tc>
                <w:tcPr>
                  <w:tcW w:w="1296" w:type="dxa"/>
                  <w:tcBorders>
                    <w:tl2br w:val="nil"/>
                    <w:tr2bl w:val="nil"/>
                  </w:tcBorders>
                  <w:noWrap w:val="0"/>
                  <w:vAlign w:val="center"/>
                </w:tcPr>
                <w:p w14:paraId="1570A05B">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0.022</w:t>
                  </w:r>
                </w:p>
              </w:tc>
              <w:tc>
                <w:tcPr>
                  <w:tcW w:w="1296" w:type="dxa"/>
                  <w:tcBorders>
                    <w:tl2br w:val="nil"/>
                    <w:tr2bl w:val="nil"/>
                  </w:tcBorders>
                  <w:noWrap w:val="0"/>
                  <w:vAlign w:val="center"/>
                </w:tcPr>
                <w:p w14:paraId="4986DCF4">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0.021</w:t>
                  </w:r>
                </w:p>
              </w:tc>
              <w:tc>
                <w:tcPr>
                  <w:tcW w:w="1296" w:type="dxa"/>
                  <w:tcBorders>
                    <w:tl2br w:val="nil"/>
                    <w:tr2bl w:val="nil"/>
                  </w:tcBorders>
                  <w:noWrap w:val="0"/>
                  <w:vAlign w:val="center"/>
                </w:tcPr>
                <w:p w14:paraId="76B09F0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0.019</w:t>
                  </w:r>
                </w:p>
              </w:tc>
              <w:tc>
                <w:tcPr>
                  <w:tcW w:w="1298" w:type="dxa"/>
                  <w:tcBorders>
                    <w:tl2br w:val="nil"/>
                    <w:tr2bl w:val="nil"/>
                  </w:tcBorders>
                  <w:noWrap w:val="0"/>
                  <w:vAlign w:val="center"/>
                </w:tcPr>
                <w:p w14:paraId="6A93060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0.018</w:t>
                  </w:r>
                </w:p>
              </w:tc>
            </w:tr>
            <w:tr w14:paraId="21A7C6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2EABC085">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5D56FA40">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02DF38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氨</w:t>
                  </w:r>
                </w:p>
              </w:tc>
              <w:tc>
                <w:tcPr>
                  <w:tcW w:w="1296" w:type="dxa"/>
                  <w:tcBorders>
                    <w:tl2br w:val="nil"/>
                    <w:tr2bl w:val="nil"/>
                  </w:tcBorders>
                  <w:noWrap w:val="0"/>
                  <w:vAlign w:val="center"/>
                </w:tcPr>
                <w:p w14:paraId="0A9C284F">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0.89</w:t>
                  </w:r>
                </w:p>
              </w:tc>
              <w:tc>
                <w:tcPr>
                  <w:tcW w:w="1296" w:type="dxa"/>
                  <w:tcBorders>
                    <w:tl2br w:val="nil"/>
                    <w:tr2bl w:val="nil"/>
                  </w:tcBorders>
                  <w:noWrap w:val="0"/>
                  <w:vAlign w:val="center"/>
                </w:tcPr>
                <w:p w14:paraId="4A513465">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0.85</w:t>
                  </w:r>
                </w:p>
              </w:tc>
              <w:tc>
                <w:tcPr>
                  <w:tcW w:w="1296" w:type="dxa"/>
                  <w:tcBorders>
                    <w:tl2br w:val="nil"/>
                    <w:tr2bl w:val="nil"/>
                  </w:tcBorders>
                  <w:noWrap w:val="0"/>
                  <w:vAlign w:val="center"/>
                </w:tcPr>
                <w:p w14:paraId="0B32398C">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0.82</w:t>
                  </w:r>
                </w:p>
              </w:tc>
              <w:tc>
                <w:tcPr>
                  <w:tcW w:w="1298" w:type="dxa"/>
                  <w:tcBorders>
                    <w:tl2br w:val="nil"/>
                    <w:tr2bl w:val="nil"/>
                  </w:tcBorders>
                  <w:noWrap w:val="0"/>
                  <w:vAlign w:val="center"/>
                </w:tcPr>
                <w:p w14:paraId="633F56FF">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0.78</w:t>
                  </w:r>
                </w:p>
              </w:tc>
            </w:tr>
            <w:tr w14:paraId="60A984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0ACE445E">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1EDE8861">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671D69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臭气浓度（无量纲）</w:t>
                  </w:r>
                </w:p>
              </w:tc>
              <w:tc>
                <w:tcPr>
                  <w:tcW w:w="1296" w:type="dxa"/>
                  <w:tcBorders>
                    <w:tl2br w:val="nil"/>
                    <w:tr2bl w:val="nil"/>
                  </w:tcBorders>
                  <w:noWrap w:val="0"/>
                  <w:vAlign w:val="center"/>
                </w:tcPr>
                <w:p w14:paraId="4A33B864">
                  <w:pPr>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41143E5D">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6" w:type="dxa"/>
                  <w:tcBorders>
                    <w:tl2br w:val="nil"/>
                    <w:tr2bl w:val="nil"/>
                  </w:tcBorders>
                  <w:noWrap w:val="0"/>
                  <w:vAlign w:val="center"/>
                </w:tcPr>
                <w:p w14:paraId="0789E07C">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c>
                <w:tcPr>
                  <w:tcW w:w="1298" w:type="dxa"/>
                  <w:tcBorders>
                    <w:tl2br w:val="nil"/>
                    <w:tr2bl w:val="nil"/>
                  </w:tcBorders>
                  <w:noWrap w:val="0"/>
                  <w:vAlign w:val="center"/>
                </w:tcPr>
                <w:p w14:paraId="7FD9BED9">
                  <w:pPr>
                    <w:keepNext w:val="0"/>
                    <w:keepLines w:val="0"/>
                    <w:widowControl/>
                    <w:suppressLineNumbers w:val="0"/>
                    <w:spacing w:line="240" w:lineRule="auto"/>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＜10</w:t>
                  </w:r>
                </w:p>
              </w:tc>
            </w:tr>
            <w:tr w14:paraId="3B81B0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79133769">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0CA96AF4">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54F2A5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颗粒物</w:t>
                  </w:r>
                  <w:r>
                    <w:rPr>
                      <w:rFonts w:hint="eastAsia"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val="en-US" w:eastAsia="zh-CN"/>
                    </w:rPr>
                    <w:t>μ</w:t>
                  </w:r>
                  <w:r>
                    <w:rPr>
                      <w:rFonts w:hint="eastAsia" w:ascii="Times New Roman" w:hAnsi="Times New Roman" w:cs="Times New Roman"/>
                      <w:b w:val="0"/>
                      <w:bCs/>
                      <w:color w:val="000000"/>
                      <w:sz w:val="21"/>
                      <w:szCs w:val="21"/>
                      <w:vertAlign w:val="baseline"/>
                      <w:lang w:val="en-US" w:eastAsia="zh-CN"/>
                    </w:rPr>
                    <w:t>g/m³）</w:t>
                  </w:r>
                </w:p>
              </w:tc>
              <w:tc>
                <w:tcPr>
                  <w:tcW w:w="1296" w:type="dxa"/>
                  <w:tcBorders>
                    <w:tl2br w:val="nil"/>
                    <w:tr2bl w:val="nil"/>
                  </w:tcBorders>
                  <w:noWrap w:val="0"/>
                  <w:vAlign w:val="center"/>
                </w:tcPr>
                <w:p w14:paraId="3E552561">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434</w:t>
                  </w:r>
                </w:p>
              </w:tc>
              <w:tc>
                <w:tcPr>
                  <w:tcW w:w="1296" w:type="dxa"/>
                  <w:tcBorders>
                    <w:tl2br w:val="nil"/>
                    <w:tr2bl w:val="nil"/>
                  </w:tcBorders>
                  <w:noWrap w:val="0"/>
                  <w:vAlign w:val="center"/>
                </w:tcPr>
                <w:p w14:paraId="7FF21EB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442</w:t>
                  </w:r>
                </w:p>
              </w:tc>
              <w:tc>
                <w:tcPr>
                  <w:tcW w:w="1296" w:type="dxa"/>
                  <w:tcBorders>
                    <w:tl2br w:val="nil"/>
                    <w:tr2bl w:val="nil"/>
                  </w:tcBorders>
                  <w:noWrap w:val="0"/>
                  <w:vAlign w:val="center"/>
                </w:tcPr>
                <w:p w14:paraId="1E8BFD70">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447</w:t>
                  </w:r>
                </w:p>
              </w:tc>
              <w:tc>
                <w:tcPr>
                  <w:tcW w:w="1298" w:type="dxa"/>
                  <w:tcBorders>
                    <w:tl2br w:val="nil"/>
                    <w:tr2bl w:val="nil"/>
                  </w:tcBorders>
                  <w:noWrap w:val="0"/>
                  <w:vAlign w:val="center"/>
                </w:tcPr>
                <w:p w14:paraId="361CD0E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456</w:t>
                  </w:r>
                </w:p>
              </w:tc>
            </w:tr>
            <w:tr w14:paraId="70BAB3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vMerge w:val="continue"/>
                  <w:tcBorders>
                    <w:tl2br w:val="nil"/>
                    <w:tr2bl w:val="nil"/>
                  </w:tcBorders>
                  <w:noWrap w:val="0"/>
                  <w:vAlign w:val="center"/>
                </w:tcPr>
                <w:p w14:paraId="2F336B78">
                  <w:pPr>
                    <w:pStyle w:val="29"/>
                    <w:spacing w:before="0" w:beforeAutospacing="0" w:after="0" w:afterAutospacing="0" w:line="240" w:lineRule="auto"/>
                    <w:jc w:val="center"/>
                    <w:rPr>
                      <w:rFonts w:hint="default" w:ascii="Times New Roman" w:hAnsi="Times New Roman" w:eastAsia="宋体" w:cs="Times New Roman"/>
                      <w:color w:val="auto"/>
                      <w:kern w:val="2"/>
                      <w:position w:val="6"/>
                      <w:sz w:val="21"/>
                      <w:szCs w:val="21"/>
                    </w:rPr>
                  </w:pPr>
                </w:p>
              </w:tc>
              <w:tc>
                <w:tcPr>
                  <w:tcW w:w="1269" w:type="dxa"/>
                  <w:vMerge w:val="continue"/>
                  <w:tcBorders>
                    <w:tl2br w:val="nil"/>
                    <w:tr2bl w:val="nil"/>
                  </w:tcBorders>
                  <w:noWrap w:val="0"/>
                  <w:vAlign w:val="center"/>
                </w:tcPr>
                <w:p w14:paraId="7BA6AA17">
                  <w:pPr>
                    <w:snapToGrid w:val="0"/>
                    <w:spacing w:line="240" w:lineRule="auto"/>
                    <w:jc w:val="center"/>
                    <w:rPr>
                      <w:rFonts w:hint="eastAsia" w:eastAsia="宋体" w:cs="Times New Roman"/>
                      <w:color w:val="auto"/>
                      <w:sz w:val="21"/>
                      <w:szCs w:val="21"/>
                      <w:lang w:val="en-US" w:eastAsia="zh-CN"/>
                    </w:rPr>
                  </w:pPr>
                </w:p>
              </w:tc>
              <w:tc>
                <w:tcPr>
                  <w:tcW w:w="1957" w:type="dxa"/>
                  <w:tcBorders>
                    <w:tl2br w:val="nil"/>
                    <w:tr2bl w:val="nil"/>
                  </w:tcBorders>
                  <w:noWrap w:val="0"/>
                  <w:vAlign w:val="center"/>
                </w:tcPr>
                <w:p w14:paraId="4E16C2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cs="Times New Roman"/>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非甲烷总烃</w:t>
                  </w:r>
                </w:p>
              </w:tc>
              <w:tc>
                <w:tcPr>
                  <w:tcW w:w="1296" w:type="dxa"/>
                  <w:tcBorders>
                    <w:tl2br w:val="nil"/>
                    <w:tr2bl w:val="nil"/>
                  </w:tcBorders>
                  <w:noWrap w:val="0"/>
                  <w:vAlign w:val="center"/>
                </w:tcPr>
                <w:p w14:paraId="02276AC5">
                  <w:pPr>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1.18</w:t>
                  </w:r>
                </w:p>
              </w:tc>
              <w:tc>
                <w:tcPr>
                  <w:tcW w:w="1296" w:type="dxa"/>
                  <w:tcBorders>
                    <w:tl2br w:val="nil"/>
                    <w:tr2bl w:val="nil"/>
                  </w:tcBorders>
                  <w:noWrap w:val="0"/>
                  <w:vAlign w:val="center"/>
                </w:tcPr>
                <w:p w14:paraId="57EDB71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0.96</w:t>
                  </w:r>
                </w:p>
              </w:tc>
              <w:tc>
                <w:tcPr>
                  <w:tcW w:w="1296" w:type="dxa"/>
                  <w:tcBorders>
                    <w:tl2br w:val="nil"/>
                    <w:tr2bl w:val="nil"/>
                  </w:tcBorders>
                  <w:noWrap w:val="0"/>
                  <w:vAlign w:val="center"/>
                </w:tcPr>
                <w:p w14:paraId="62265B1A">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0.99</w:t>
                  </w:r>
                </w:p>
              </w:tc>
              <w:tc>
                <w:tcPr>
                  <w:tcW w:w="1298" w:type="dxa"/>
                  <w:tcBorders>
                    <w:tl2br w:val="nil"/>
                    <w:tr2bl w:val="nil"/>
                  </w:tcBorders>
                  <w:noWrap w:val="0"/>
                  <w:vAlign w:val="center"/>
                </w:tcPr>
                <w:p w14:paraId="39CF93F7">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1.18</w:t>
                  </w:r>
                </w:p>
              </w:tc>
            </w:tr>
            <w:tr w14:paraId="26FA6D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7"/>
                  <w:tcBorders>
                    <w:tl2br w:val="nil"/>
                    <w:tr2bl w:val="nil"/>
                  </w:tcBorders>
                  <w:noWrap w:val="0"/>
                  <w:vAlign w:val="center"/>
                </w:tcPr>
                <w:p w14:paraId="33B1C327">
                  <w:pPr>
                    <w:pStyle w:val="29"/>
                    <w:spacing w:line="240" w:lineRule="auto"/>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备注：非甲烷</w:t>
                  </w:r>
                  <w:r>
                    <w:rPr>
                      <w:rFonts w:hint="eastAsia" w:eastAsia="宋体"/>
                      <w:color w:val="auto"/>
                      <w:sz w:val="21"/>
                      <w:szCs w:val="21"/>
                      <w:highlight w:val="none"/>
                      <w:lang w:val="en-US" w:eastAsia="zh-CN"/>
                    </w:rPr>
                    <w:t>总烃、臭气浓度</w:t>
                  </w:r>
                  <w:r>
                    <w:rPr>
                      <w:rFonts w:hint="eastAsia" w:ascii="Times New Roman" w:hAnsi="Times New Roman" w:eastAsia="宋体" w:cs="Times New Roman"/>
                      <w:color w:val="auto"/>
                      <w:sz w:val="21"/>
                      <w:szCs w:val="21"/>
                      <w:highlight w:val="none"/>
                      <w:lang w:val="en-US" w:eastAsia="zh-CN"/>
                    </w:rPr>
                    <w:t>的分析数据来源于索谱科技（成都）有限公司</w:t>
                  </w:r>
                  <w:r>
                    <w:rPr>
                      <w:rFonts w:hint="eastAsia" w:ascii="Times New Roman" w:hAnsi="Times New Roman" w:cs="Times New Roman"/>
                      <w:color w:val="auto"/>
                      <w:spacing w:val="-4"/>
                      <w:sz w:val="21"/>
                      <w:szCs w:val="21"/>
                      <w:highlight w:val="none"/>
                      <w:lang w:val="en-US" w:eastAsia="zh-CN"/>
                    </w:rPr>
                    <w:t>（CMA编号：242312051198）的检测报告（索谱环检字（2026）第06052号）。</w:t>
                  </w:r>
                </w:p>
              </w:tc>
            </w:tr>
          </w:tbl>
          <w:p w14:paraId="3B9D43E5">
            <w:pPr>
              <w:keepNext w:val="0"/>
              <w:keepLines w:val="0"/>
              <w:pageBreakBefore w:val="0"/>
              <w:widowControl w:val="0"/>
              <w:kinsoku/>
              <w:wordWrap/>
              <w:overflowPunct/>
              <w:topLinePunct w:val="0"/>
              <w:autoSpaceDE/>
              <w:autoSpaceDN/>
              <w:bidi w:val="0"/>
              <w:adjustRightInd/>
              <w:snapToGrid w:val="0"/>
              <w:spacing w:line="360" w:lineRule="auto"/>
              <w:ind w:left="275" w:leftChars="131" w:right="0" w:rightChars="0" w:firstLine="602" w:firstLineChars="250"/>
              <w:jc w:val="left"/>
              <w:textAlignment w:val="auto"/>
              <w:outlineLvl w:val="9"/>
              <w:rPr>
                <w:rFonts w:hint="default" w:ascii="Times New Roman" w:hAnsi="Times New Roman" w:eastAsia="宋体" w:cs="Times New Roman"/>
                <w:b/>
                <w:bCs/>
                <w:color w:val="auto"/>
                <w:sz w:val="24"/>
                <w:szCs w:val="24"/>
              </w:rPr>
            </w:pPr>
          </w:p>
          <w:p w14:paraId="077B5BE2">
            <w:pPr>
              <w:keepNext w:val="0"/>
              <w:keepLines w:val="0"/>
              <w:pageBreakBefore w:val="0"/>
              <w:widowControl w:val="0"/>
              <w:kinsoku/>
              <w:wordWrap/>
              <w:overflowPunct/>
              <w:topLinePunct w:val="0"/>
              <w:autoSpaceDE/>
              <w:autoSpaceDN/>
              <w:bidi w:val="0"/>
              <w:adjustRightInd/>
              <w:snapToGrid w:val="0"/>
              <w:spacing w:line="360" w:lineRule="auto"/>
              <w:ind w:left="275" w:leftChars="131" w:right="0" w:rightChars="0" w:firstLine="602" w:firstLineChars="250"/>
              <w:jc w:val="left"/>
              <w:textAlignment w:val="auto"/>
              <w:outlineLvl w:val="9"/>
              <w:rPr>
                <w:rFonts w:hint="default" w:ascii="Times New Roman" w:hAnsi="Times New Roman" w:cs="Times New Roman"/>
                <w:color w:val="0000FF"/>
                <w:sz w:val="24"/>
                <w:szCs w:val="24"/>
              </w:rPr>
            </w:pPr>
            <w:r>
              <w:rPr>
                <w:rFonts w:hint="default" w:ascii="Times New Roman" w:hAnsi="Times New Roman" w:eastAsia="宋体" w:cs="Times New Roman"/>
                <w:b/>
                <w:bCs/>
                <w:color w:val="auto"/>
                <w:sz w:val="24"/>
                <w:szCs w:val="24"/>
              </w:rPr>
              <w:t>无组织废气：</w:t>
            </w:r>
            <w:bookmarkStart w:id="44" w:name="OLE_LINK11"/>
            <w:r>
              <w:rPr>
                <w:rFonts w:hint="default" w:ascii="Times New Roman" w:hAnsi="Times New Roman" w:eastAsia="宋体" w:cs="Times New Roman"/>
                <w:sz w:val="24"/>
                <w:szCs w:val="24"/>
              </w:rPr>
              <w:t>按照《</w:t>
            </w:r>
            <w:r>
              <w:rPr>
                <w:rFonts w:hint="default" w:ascii="Times New Roman" w:hAnsi="Times New Roman" w:eastAsia="宋体" w:cs="Times New Roman"/>
                <w:sz w:val="24"/>
                <w:szCs w:val="24"/>
                <w:lang w:val="en-US" w:eastAsia="zh-CN"/>
              </w:rPr>
              <w:t>恶臭污染物排放标准</w:t>
            </w:r>
            <w:r>
              <w:rPr>
                <w:rFonts w:hint="default" w:ascii="Times New Roman" w:hAnsi="Times New Roman" w:eastAsia="宋体" w:cs="Times New Roman"/>
                <w:sz w:val="24"/>
                <w:szCs w:val="24"/>
              </w:rPr>
              <w:t>》GB</w:t>
            </w:r>
            <w:r>
              <w:rPr>
                <w:rFonts w:hint="default" w:ascii="Times New Roman" w:hAnsi="Times New Roman" w:eastAsia="宋体" w:cs="Times New Roman"/>
                <w:sz w:val="24"/>
                <w:szCs w:val="24"/>
                <w:lang w:val="en-US" w:eastAsia="zh-CN"/>
              </w:rPr>
              <w:t xml:space="preserve"> 14554-93表1二级</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新扩改建</w:t>
            </w:r>
            <w:r>
              <w:rPr>
                <w:rFonts w:hint="eastAsia" w:cs="Times New Roman"/>
                <w:sz w:val="24"/>
                <w:szCs w:val="24"/>
                <w:lang w:val="en-US" w:eastAsia="zh-CN"/>
              </w:rPr>
              <w:t>”、</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大气污染物综合排放标准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GB 16297-1996 表2</w:t>
            </w:r>
            <w:r>
              <w:rPr>
                <w:rFonts w:hint="eastAsia" w:cs="Times New Roman"/>
                <w:sz w:val="24"/>
                <w:szCs w:val="24"/>
                <w:lang w:val="en-US" w:eastAsia="zh-CN"/>
              </w:rPr>
              <w:t>标准</w:t>
            </w:r>
            <w:r>
              <w:rPr>
                <w:rFonts w:hint="default" w:ascii="Times New Roman" w:hAnsi="Times New Roman" w:eastAsia="宋体" w:cs="Times New Roman"/>
                <w:sz w:val="24"/>
                <w:szCs w:val="24"/>
              </w:rPr>
              <w:t>进行评价</w:t>
            </w:r>
            <w:r>
              <w:rPr>
                <w:rFonts w:hint="default" w:ascii="Times New Roman" w:hAnsi="Times New Roman" w:eastAsia="宋体" w:cs="Times New Roman"/>
                <w:color w:val="auto"/>
                <w:sz w:val="24"/>
                <w:szCs w:val="24"/>
              </w:rPr>
              <w:t>，</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w:t>
            </w:r>
            <w:r>
              <w:rPr>
                <w:rFonts w:hint="default" w:ascii="Times New Roman" w:hAnsi="Times New Roman" w:eastAsia="宋体" w:cs="Times New Roman"/>
                <w:color w:val="auto"/>
                <w:sz w:val="24"/>
                <w:szCs w:val="24"/>
                <w:lang w:eastAsia="zh-CN"/>
              </w:rPr>
              <w:t>，1#、2#</w:t>
            </w:r>
            <w:r>
              <w:rPr>
                <w:rFonts w:hint="eastAsia" w:cs="Times New Roman"/>
                <w:sz w:val="24"/>
                <w:szCs w:val="24"/>
                <w:lang w:val="en-US" w:eastAsia="zh-CN"/>
              </w:rPr>
              <w:t>、</w:t>
            </w:r>
            <w:r>
              <w:rPr>
                <w:rFonts w:hint="default" w:ascii="Times New Roman" w:hAnsi="Times New Roman" w:eastAsia="宋体" w:cs="Times New Roman"/>
                <w:color w:val="auto"/>
                <w:sz w:val="24"/>
                <w:szCs w:val="24"/>
                <w:lang w:val="en-US" w:eastAsia="zh-CN"/>
              </w:rPr>
              <w:t>3#厂界下风向10m内硫化氢、氨、臭气浓度、颗粒物、非甲烷总烃指标</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-2日连续两天</w:t>
            </w:r>
            <w:r>
              <w:rPr>
                <w:rFonts w:hint="default" w:ascii="Times New Roman" w:hAnsi="Times New Roman" w:eastAsia="宋体" w:cs="Times New Roman"/>
                <w:color w:val="auto"/>
                <w:sz w:val="24"/>
                <w:szCs w:val="24"/>
                <w:lang w:eastAsia="zh-CN"/>
              </w:rPr>
              <w:t>监测数据表明</w:t>
            </w:r>
            <w:r>
              <w:rPr>
                <w:rFonts w:hint="default" w:ascii="Times New Roman" w:hAnsi="Times New Roman" w:eastAsia="宋体" w:cs="Times New Roman"/>
                <w:color w:val="auto"/>
                <w:sz w:val="24"/>
                <w:szCs w:val="24"/>
              </w:rPr>
              <w:t>均</w:t>
            </w:r>
            <w:r>
              <w:rPr>
                <w:rFonts w:hint="default" w:ascii="Times New Roman" w:hAnsi="Times New Roman" w:eastAsia="宋体" w:cs="Times New Roman"/>
                <w:b/>
                <w:color w:val="auto"/>
                <w:sz w:val="24"/>
                <w:szCs w:val="24"/>
              </w:rPr>
              <w:t>达标</w:t>
            </w:r>
            <w:r>
              <w:rPr>
                <w:rFonts w:hint="eastAsia" w:cs="Times New Roman"/>
                <w:b w:val="0"/>
                <w:bCs/>
                <w:color w:val="auto"/>
                <w:sz w:val="28"/>
                <w:szCs w:val="28"/>
                <w:lang w:eastAsia="zh-CN"/>
              </w:rPr>
              <w:t>。</w:t>
            </w:r>
            <w:r>
              <w:rPr>
                <w:rFonts w:hint="eastAsia" w:ascii="Times New Roman" w:hAnsi="Times New Roman" w:eastAsia="宋体" w:cs="Times New Roman"/>
                <w:b/>
                <w:color w:val="auto"/>
                <w:sz w:val="24"/>
                <w:szCs w:val="24"/>
                <w:lang w:val="en-US" w:eastAsia="zh-CN"/>
              </w:rPr>
              <w:t xml:space="preserve"> </w:t>
            </w:r>
            <w:bookmarkEnd w:id="44"/>
            <w:r>
              <w:rPr>
                <w:rFonts w:hint="eastAsia" w:ascii="Times New Roman" w:hAnsi="Times New Roman" w:eastAsia="宋体" w:cs="Times New Roman"/>
                <w:color w:val="0000FF"/>
                <w:sz w:val="28"/>
                <w:szCs w:val="28"/>
                <w:lang w:val="en-US" w:eastAsia="zh-CN"/>
              </w:rPr>
              <w:t xml:space="preserve">             </w:t>
            </w:r>
          </w:p>
          <w:p w14:paraId="0A0CB98E">
            <w:pPr>
              <w:numPr>
                <w:ilvl w:val="0"/>
                <w:numId w:val="0"/>
              </w:numPr>
              <w:spacing w:line="360" w:lineRule="auto"/>
              <w:rPr>
                <w:rFonts w:hint="eastAsia" w:cs="Times New Roman"/>
                <w:b/>
                <w:bCs/>
                <w:color w:val="auto"/>
                <w:sz w:val="24"/>
                <w:szCs w:val="24"/>
                <w:lang w:val="en-US" w:eastAsia="zh-CN"/>
              </w:rPr>
            </w:pPr>
          </w:p>
          <w:p w14:paraId="71580E06">
            <w:pPr>
              <w:numPr>
                <w:ilvl w:val="0"/>
                <w:numId w:val="0"/>
              </w:numPr>
              <w:spacing w:line="360" w:lineRule="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 噪声</w:t>
            </w:r>
            <w:r>
              <w:rPr>
                <w:rFonts w:hint="default" w:ascii="Times New Roman" w:hAnsi="Times New Roman" w:cs="Times New Roman"/>
                <w:b/>
                <w:bCs/>
                <w:color w:val="auto"/>
                <w:sz w:val="24"/>
                <w:szCs w:val="24"/>
              </w:rPr>
              <w:t>验收</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结果</w:t>
            </w:r>
          </w:p>
          <w:p w14:paraId="6A2F8805">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cs="Times New Roman"/>
                <w:b/>
                <w:bCs/>
                <w:color w:val="0000FF"/>
                <w:sz w:val="24"/>
                <w:szCs w:val="24"/>
                <w:lang w:val="en-US" w:eastAsia="zh-CN"/>
              </w:rPr>
            </w:pPr>
            <w:r>
              <w:rPr>
                <w:rFonts w:hint="eastAsia" w:ascii="Times New Roman" w:hAnsi="Times New Roman" w:cs="Times New Roman"/>
                <w:color w:val="auto"/>
                <w:spacing w:val="4"/>
                <w:sz w:val="24"/>
                <w:szCs w:val="24"/>
                <w:lang w:val="en-US" w:eastAsia="zh-CN"/>
              </w:rPr>
              <w:t>噪声</w:t>
            </w:r>
            <w:r>
              <w:rPr>
                <w:rFonts w:hint="default" w:ascii="Times New Roman" w:hAnsi="Times New Roman" w:eastAsia="宋体" w:cs="Times New Roman"/>
                <w:color w:val="auto"/>
                <w:spacing w:val="4"/>
                <w:sz w:val="24"/>
                <w:szCs w:val="24"/>
                <w:lang w:val="en-US" w:eastAsia="zh-CN"/>
              </w:rPr>
              <w:t>：</w:t>
            </w:r>
            <w:r>
              <w:rPr>
                <w:rFonts w:hint="eastAsia" w:cs="Times New Roman"/>
                <w:color w:val="auto"/>
                <w:spacing w:val="4"/>
                <w:sz w:val="24"/>
                <w:szCs w:val="24"/>
                <w:lang w:val="en-US" w:eastAsia="zh-CN"/>
              </w:rPr>
              <w:t>4</w:t>
            </w:r>
            <w:r>
              <w:rPr>
                <w:rFonts w:hint="eastAsia" w:ascii="Times New Roman" w:hAnsi="Times New Roman" w:eastAsia="宋体" w:cs="Times New Roman"/>
                <w:color w:val="auto"/>
                <w:spacing w:val="4"/>
                <w:sz w:val="24"/>
                <w:szCs w:val="24"/>
                <w:lang w:val="en-US" w:eastAsia="zh-CN"/>
              </w:rPr>
              <w:t>个点位，在厂界东侧、南侧、西侧、北侧外1m各设置一个噪声检测点。</w:t>
            </w:r>
            <w:r>
              <w:rPr>
                <w:rFonts w:hint="default" w:ascii="Times New Roman" w:hAnsi="Times New Roman" w:eastAsia="宋体" w:cs="Times New Roman"/>
                <w:color w:val="auto"/>
                <w:spacing w:val="4"/>
                <w:sz w:val="24"/>
                <w:szCs w:val="24"/>
                <w:lang w:val="en-US" w:eastAsia="zh-CN"/>
              </w:rPr>
              <w:t>昼间监测1次，连续监测2天</w:t>
            </w:r>
            <w:r>
              <w:rPr>
                <w:rFonts w:hint="eastAsia" w:ascii="Times New Roman" w:hAnsi="Times New Roman" w:eastAsia="宋体" w:cs="Times New Roman"/>
                <w:color w:val="auto"/>
                <w:spacing w:val="4"/>
                <w:sz w:val="24"/>
                <w:szCs w:val="24"/>
                <w:lang w:val="en-US" w:eastAsia="zh-CN"/>
              </w:rPr>
              <w:t>，检测结果</w:t>
            </w:r>
            <w:r>
              <w:rPr>
                <w:rFonts w:hint="default" w:ascii="Times New Roman" w:hAnsi="Times New Roman" w:eastAsia="宋体" w:cs="Times New Roman"/>
                <w:color w:val="auto"/>
                <w:spacing w:val="4"/>
                <w:sz w:val="24"/>
                <w:szCs w:val="24"/>
                <w:lang w:val="en-US" w:eastAsia="zh-CN"/>
              </w:rPr>
              <w:t>详见表</w:t>
            </w:r>
            <w:r>
              <w:rPr>
                <w:rFonts w:hint="eastAsia" w:ascii="Times New Roman" w:hAnsi="Times New Roman" w:eastAsia="宋体" w:cs="Times New Roman"/>
                <w:color w:val="auto"/>
                <w:spacing w:val="4"/>
                <w:sz w:val="24"/>
                <w:szCs w:val="24"/>
                <w:lang w:val="en-US" w:eastAsia="zh-CN"/>
              </w:rPr>
              <w:t>7-3</w:t>
            </w:r>
            <w:r>
              <w:rPr>
                <w:rFonts w:hint="default" w:ascii="Times New Roman" w:hAnsi="Times New Roman" w:eastAsia="宋体" w:cs="Times New Roman"/>
                <w:color w:val="auto"/>
                <w:spacing w:val="4"/>
                <w:sz w:val="24"/>
                <w:szCs w:val="24"/>
                <w:lang w:val="en-US" w:eastAsia="zh-CN"/>
              </w:rPr>
              <w:t>。</w:t>
            </w:r>
          </w:p>
          <w:p w14:paraId="11292AF5">
            <w:pPr>
              <w:spacing w:line="240" w:lineRule="auto"/>
              <w:jc w:val="center"/>
              <w:rPr>
                <w:rFonts w:hint="default" w:ascii="Times New Roman" w:hAnsi="Times New Roman" w:cs="Times New Roman"/>
                <w:b/>
                <w:bCs/>
                <w:color w:val="0000FF"/>
                <w:sz w:val="21"/>
                <w:szCs w:val="21"/>
                <w:lang w:val="en-US" w:eastAsia="zh-CN"/>
              </w:rPr>
            </w:pPr>
            <w:r>
              <w:rPr>
                <w:rFonts w:hint="eastAsia"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表7-</w:t>
            </w:r>
            <w:r>
              <w:rPr>
                <w:rFonts w:hint="eastAsia"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 噪声</w:t>
            </w:r>
            <w:r>
              <w:rPr>
                <w:rFonts w:hint="eastAsia" w:ascii="Times New Roman" w:hAnsi="Times New Roman" w:cs="Times New Roman"/>
                <w:b/>
                <w:bCs/>
                <w:color w:val="auto"/>
                <w:sz w:val="24"/>
                <w:szCs w:val="24"/>
                <w:lang w:val="en-US" w:eastAsia="zh-CN"/>
              </w:rPr>
              <w:t>检测</w:t>
            </w:r>
            <w:r>
              <w:rPr>
                <w:rFonts w:hint="default" w:ascii="Times New Roman" w:hAnsi="Times New Roman" w:cs="Times New Roman"/>
                <w:b/>
                <w:bCs/>
                <w:color w:val="auto"/>
                <w:sz w:val="24"/>
                <w:szCs w:val="24"/>
                <w:lang w:val="en-US" w:eastAsia="zh-CN"/>
              </w:rPr>
              <w:t>结果表</w:t>
            </w:r>
            <w:r>
              <w:rPr>
                <w:rFonts w:hint="eastAsia"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0000FF"/>
                <w:sz w:val="24"/>
                <w:szCs w:val="24"/>
                <w:lang w:val="en-US" w:eastAsia="zh-CN"/>
              </w:rPr>
              <w:t xml:space="preserve"> </w:t>
            </w:r>
            <w:r>
              <w:rPr>
                <w:rFonts w:hint="eastAsia" w:ascii="Times New Roman" w:hAnsi="Times New Roman" w:cs="Times New Roman"/>
                <w:b/>
                <w:bCs/>
                <w:color w:val="0000FF"/>
                <w:sz w:val="21"/>
                <w:szCs w:val="21"/>
                <w:lang w:val="en-US" w:eastAsia="zh-CN"/>
              </w:rPr>
              <w:t xml:space="preserve">     </w:t>
            </w:r>
            <w:r>
              <w:rPr>
                <w:rFonts w:hint="default" w:ascii="Times New Roman" w:hAnsi="Times New Roman" w:cs="Times New Roman"/>
                <w:b/>
                <w:bCs/>
                <w:color w:val="0000FF"/>
                <w:sz w:val="21"/>
                <w:szCs w:val="21"/>
                <w:lang w:val="en-US" w:eastAsia="zh-CN"/>
              </w:rPr>
              <w:t xml:space="preserve">       </w:t>
            </w:r>
            <w:r>
              <w:rPr>
                <w:rFonts w:hint="default" w:ascii="Times New Roman" w:hAnsi="Times New Roman" w:cs="Times New Roman"/>
                <w:b/>
                <w:bCs/>
                <w:color w:val="auto"/>
                <w:sz w:val="21"/>
                <w:szCs w:val="21"/>
                <w:lang w:val="en-US" w:eastAsia="zh-CN"/>
              </w:rPr>
              <w:t>单位：dB（A）</w:t>
            </w:r>
          </w:p>
          <w:tbl>
            <w:tblPr>
              <w:tblStyle w:val="34"/>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1295"/>
              <w:gridCol w:w="1295"/>
              <w:gridCol w:w="1295"/>
              <w:gridCol w:w="1295"/>
              <w:gridCol w:w="1295"/>
              <w:gridCol w:w="1301"/>
            </w:tblGrid>
            <w:tr w14:paraId="2A0627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tcBorders>
                    <w:tl2br w:val="nil"/>
                    <w:tr2bl w:val="nil"/>
                  </w:tcBorders>
                  <w:noWrap w:val="0"/>
                  <w:vAlign w:val="center"/>
                </w:tcPr>
                <w:p w14:paraId="56817926">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eastAsia="宋体" w:cs="Times New Roman"/>
                      <w:color w:val="auto"/>
                      <w:sz w:val="21"/>
                      <w:szCs w:val="21"/>
                      <w:lang w:eastAsia="zh-CN"/>
                    </w:rPr>
                    <w:t>采样</w:t>
                  </w:r>
                  <w:r>
                    <w:rPr>
                      <w:rFonts w:hint="default" w:ascii="Times New Roman" w:hAnsi="Times New Roman" w:eastAsia="宋体" w:cs="Times New Roman"/>
                      <w:color w:val="auto"/>
                      <w:sz w:val="21"/>
                      <w:szCs w:val="21"/>
                    </w:rPr>
                    <w:t>日期</w:t>
                  </w:r>
                </w:p>
              </w:tc>
              <w:tc>
                <w:tcPr>
                  <w:tcW w:w="1295" w:type="dxa"/>
                  <w:tcBorders>
                    <w:tl2br w:val="nil"/>
                    <w:tr2bl w:val="nil"/>
                  </w:tcBorders>
                  <w:noWrap w:val="0"/>
                  <w:vAlign w:val="center"/>
                </w:tcPr>
                <w:p w14:paraId="5F4FF5FF">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kern w:val="0"/>
                      <w:sz w:val="21"/>
                      <w:szCs w:val="21"/>
                      <w:lang w:eastAsia="zh-CN"/>
                    </w:rPr>
                    <w:t>检测</w:t>
                  </w:r>
                  <w:r>
                    <w:rPr>
                      <w:rFonts w:hint="default" w:ascii="Times New Roman" w:hAnsi="Times New Roman" w:cs="Times New Roman"/>
                      <w:color w:val="auto"/>
                      <w:kern w:val="0"/>
                      <w:sz w:val="21"/>
                      <w:szCs w:val="21"/>
                    </w:rPr>
                    <w:t>点位</w:t>
                  </w:r>
                </w:p>
              </w:tc>
              <w:tc>
                <w:tcPr>
                  <w:tcW w:w="1295" w:type="dxa"/>
                  <w:tcBorders>
                    <w:tl2br w:val="nil"/>
                    <w:tr2bl w:val="nil"/>
                  </w:tcBorders>
                  <w:noWrap w:val="0"/>
                  <w:vAlign w:val="center"/>
                </w:tcPr>
                <w:p w14:paraId="780D6C96">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kern w:val="0"/>
                      <w:sz w:val="21"/>
                      <w:szCs w:val="21"/>
                      <w:lang w:eastAsia="zh-CN"/>
                    </w:rPr>
                    <w:t>检测</w:t>
                  </w:r>
                  <w:r>
                    <w:rPr>
                      <w:rFonts w:hint="default" w:ascii="Times New Roman" w:hAnsi="Times New Roman" w:cs="Times New Roman"/>
                      <w:color w:val="auto"/>
                      <w:kern w:val="0"/>
                      <w:sz w:val="21"/>
                      <w:szCs w:val="21"/>
                    </w:rPr>
                    <w:t>时段</w:t>
                  </w:r>
                </w:p>
              </w:tc>
              <w:tc>
                <w:tcPr>
                  <w:tcW w:w="1295" w:type="dxa"/>
                  <w:tcBorders>
                    <w:tl2br w:val="nil"/>
                    <w:tr2bl w:val="nil"/>
                  </w:tcBorders>
                  <w:noWrap w:val="0"/>
                  <w:vAlign w:val="center"/>
                </w:tcPr>
                <w:p w14:paraId="70442496">
                  <w:pPr>
                    <w:widowControl/>
                    <w:spacing w:line="240" w:lineRule="auto"/>
                    <w:jc w:val="center"/>
                    <w:rPr>
                      <w:rFonts w:hint="default" w:ascii="Times New Roman" w:hAnsi="Times New Roman" w:cs="Times New Roman"/>
                      <w:b w:val="0"/>
                      <w:bCs w:val="0"/>
                      <w:color w:val="auto"/>
                      <w:sz w:val="21"/>
                      <w:szCs w:val="21"/>
                      <w:vertAlign w:val="baseline"/>
                    </w:rPr>
                  </w:pPr>
                  <w:r>
                    <w:rPr>
                      <w:rFonts w:hint="default" w:ascii="Times New Roman" w:hAnsi="Times New Roman" w:cs="Times New Roman"/>
                      <w:b w:val="0"/>
                      <w:bCs w:val="0"/>
                      <w:color w:val="auto"/>
                      <w:kern w:val="0"/>
                      <w:sz w:val="21"/>
                      <w:szCs w:val="21"/>
                    </w:rPr>
                    <w:t>主要声源</w:t>
                  </w:r>
                </w:p>
              </w:tc>
              <w:tc>
                <w:tcPr>
                  <w:tcW w:w="1295" w:type="dxa"/>
                  <w:tcBorders>
                    <w:tl2br w:val="nil"/>
                    <w:tr2bl w:val="nil"/>
                  </w:tcBorders>
                  <w:noWrap w:val="0"/>
                  <w:vAlign w:val="center"/>
                </w:tcPr>
                <w:p w14:paraId="37A7EBFF">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生产时</w:t>
                  </w:r>
                </w:p>
              </w:tc>
              <w:tc>
                <w:tcPr>
                  <w:tcW w:w="1295" w:type="dxa"/>
                  <w:tcBorders>
                    <w:tl2br w:val="nil"/>
                    <w:tr2bl w:val="nil"/>
                  </w:tcBorders>
                  <w:noWrap w:val="0"/>
                  <w:vAlign w:val="center"/>
                </w:tcPr>
                <w:p w14:paraId="22E3F629">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停产时</w:t>
                  </w:r>
                </w:p>
              </w:tc>
              <w:tc>
                <w:tcPr>
                  <w:tcW w:w="1301" w:type="dxa"/>
                  <w:tcBorders>
                    <w:tl2br w:val="nil"/>
                    <w:tr2bl w:val="nil"/>
                  </w:tcBorders>
                  <w:noWrap w:val="0"/>
                  <w:vAlign w:val="center"/>
                </w:tcPr>
                <w:p w14:paraId="24830322">
                  <w:pPr>
                    <w:spacing w:line="240" w:lineRule="auto"/>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检测</w:t>
                  </w:r>
                  <w:r>
                    <w:rPr>
                      <w:rFonts w:hint="default" w:ascii="Times New Roman" w:hAnsi="Times New Roman" w:cs="Times New Roman"/>
                      <w:color w:val="auto"/>
                      <w:kern w:val="0"/>
                      <w:sz w:val="21"/>
                      <w:szCs w:val="21"/>
                    </w:rPr>
                    <w:t>结果</w:t>
                  </w:r>
                </w:p>
              </w:tc>
            </w:tr>
            <w:tr w14:paraId="4E918D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restart"/>
                  <w:tcBorders>
                    <w:tl2br w:val="nil"/>
                    <w:tr2bl w:val="nil"/>
                  </w:tcBorders>
                  <w:noWrap w:val="0"/>
                  <w:vAlign w:val="center"/>
                </w:tcPr>
                <w:p w14:paraId="16951D2D">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6月</w:t>
                  </w:r>
                </w:p>
                <w:p w14:paraId="06ACAC1F">
                  <w:pPr>
                    <w:snapToGrid w:val="0"/>
                    <w:spacing w:line="360" w:lineRule="auto"/>
                    <w:jc w:val="center"/>
                    <w:rPr>
                      <w:rFonts w:hint="default" w:ascii="Times New Roman" w:hAnsi="Times New Roman" w:cs="Times New Roman"/>
                      <w:b/>
                      <w:color w:val="auto"/>
                      <w:sz w:val="21"/>
                      <w:szCs w:val="21"/>
                      <w:vertAlign w:val="baseline"/>
                    </w:rPr>
                  </w:pPr>
                  <w:r>
                    <w:rPr>
                      <w:rFonts w:hint="eastAsia" w:ascii="Times New Roman" w:hAnsi="Times New Roman" w:eastAsia="宋体" w:cs="Times New Roman"/>
                      <w:color w:val="auto"/>
                      <w:spacing w:val="-12"/>
                      <w:sz w:val="21"/>
                      <w:szCs w:val="21"/>
                      <w:lang w:val="en-US" w:eastAsia="zh-CN"/>
                    </w:rPr>
                    <w:t>1日</w:t>
                  </w:r>
                </w:p>
              </w:tc>
              <w:tc>
                <w:tcPr>
                  <w:tcW w:w="1295" w:type="dxa"/>
                  <w:tcBorders>
                    <w:tl2br w:val="nil"/>
                    <w:tr2bl w:val="nil"/>
                  </w:tcBorders>
                  <w:noWrap w:val="0"/>
                  <w:vAlign w:val="center"/>
                </w:tcPr>
                <w:p w14:paraId="3D3C055C">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kern w:val="0"/>
                      <w:sz w:val="21"/>
                      <w:szCs w:val="21"/>
                      <w:vertAlign w:val="baseline"/>
                    </w:rPr>
                    <w:t>1#</w:t>
                  </w:r>
                </w:p>
              </w:tc>
              <w:tc>
                <w:tcPr>
                  <w:tcW w:w="1295" w:type="dxa"/>
                  <w:tcBorders>
                    <w:tl2br w:val="nil"/>
                    <w:tr2bl w:val="nil"/>
                  </w:tcBorders>
                  <w:noWrap w:val="0"/>
                  <w:vAlign w:val="center"/>
                </w:tcPr>
                <w:p w14:paraId="6ADF4D12">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3B3A9560">
                  <w:pPr>
                    <w:spacing w:line="240" w:lineRule="auto"/>
                    <w:jc w:val="center"/>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5466A63A">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56.4</w:t>
                  </w:r>
                </w:p>
              </w:tc>
              <w:tc>
                <w:tcPr>
                  <w:tcW w:w="1295" w:type="dxa"/>
                  <w:tcBorders>
                    <w:tl2br w:val="nil"/>
                    <w:tr2bl w:val="nil"/>
                  </w:tcBorders>
                  <w:noWrap w:val="0"/>
                  <w:vAlign w:val="center"/>
                </w:tcPr>
                <w:p w14:paraId="7827567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46.2</w:t>
                  </w:r>
                </w:p>
              </w:tc>
              <w:tc>
                <w:tcPr>
                  <w:tcW w:w="1301" w:type="dxa"/>
                  <w:tcBorders>
                    <w:tl2br w:val="nil"/>
                    <w:tr2bl w:val="nil"/>
                  </w:tcBorders>
                  <w:noWrap w:val="0"/>
                  <w:vAlign w:val="center"/>
                </w:tcPr>
                <w:p w14:paraId="4360DD7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w:t>
                  </w:r>
                </w:p>
              </w:tc>
            </w:tr>
            <w:tr w14:paraId="30052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continue"/>
                  <w:tcBorders>
                    <w:tl2br w:val="nil"/>
                    <w:tr2bl w:val="nil"/>
                  </w:tcBorders>
                  <w:noWrap w:val="0"/>
                  <w:vAlign w:val="center"/>
                </w:tcPr>
                <w:p w14:paraId="516E5861">
                  <w:pPr>
                    <w:spacing w:line="240" w:lineRule="auto"/>
                    <w:jc w:val="center"/>
                    <w:rPr>
                      <w:rFonts w:hint="default" w:ascii="Times New Roman" w:hAnsi="Times New Roman" w:cs="Times New Roman"/>
                      <w:b/>
                      <w:color w:val="auto"/>
                      <w:sz w:val="21"/>
                      <w:szCs w:val="21"/>
                      <w:vertAlign w:val="baseline"/>
                    </w:rPr>
                  </w:pPr>
                </w:p>
              </w:tc>
              <w:tc>
                <w:tcPr>
                  <w:tcW w:w="1295" w:type="dxa"/>
                  <w:tcBorders>
                    <w:tl2br w:val="nil"/>
                    <w:tr2bl w:val="nil"/>
                  </w:tcBorders>
                  <w:noWrap w:val="0"/>
                  <w:vAlign w:val="center"/>
                </w:tcPr>
                <w:p w14:paraId="18A4EB34">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kern w:val="0"/>
                      <w:sz w:val="21"/>
                      <w:szCs w:val="21"/>
                      <w:vertAlign w:val="baseline"/>
                    </w:rPr>
                    <w:t>2#</w:t>
                  </w:r>
                </w:p>
              </w:tc>
              <w:tc>
                <w:tcPr>
                  <w:tcW w:w="1295" w:type="dxa"/>
                  <w:tcBorders>
                    <w:tl2br w:val="nil"/>
                    <w:tr2bl w:val="nil"/>
                  </w:tcBorders>
                  <w:noWrap w:val="0"/>
                  <w:vAlign w:val="center"/>
                </w:tcPr>
                <w:p w14:paraId="64C48BF5">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75D19DF3">
                  <w:pPr>
                    <w:spacing w:line="240" w:lineRule="auto"/>
                    <w:jc w:val="center"/>
                    <w:rPr>
                      <w:rFonts w:hint="default" w:ascii="Times New Roman" w:hAnsi="Times New Roman" w:cs="Times New Roman"/>
                      <w:b w:val="0"/>
                      <w:bCs/>
                      <w:color w:val="auto"/>
                      <w:sz w:val="21"/>
                      <w:szCs w:val="21"/>
                      <w:vertAlign w:val="baseline"/>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20E0D7C6">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55.6</w:t>
                  </w:r>
                </w:p>
              </w:tc>
              <w:tc>
                <w:tcPr>
                  <w:tcW w:w="1295" w:type="dxa"/>
                  <w:tcBorders>
                    <w:tl2br w:val="nil"/>
                    <w:tr2bl w:val="nil"/>
                  </w:tcBorders>
                  <w:noWrap w:val="0"/>
                  <w:vAlign w:val="center"/>
                </w:tcPr>
                <w:p w14:paraId="0EBE1A00">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47.4</w:t>
                  </w:r>
                </w:p>
              </w:tc>
              <w:tc>
                <w:tcPr>
                  <w:tcW w:w="1301" w:type="dxa"/>
                  <w:tcBorders>
                    <w:tl2br w:val="nil"/>
                    <w:tr2bl w:val="nil"/>
                  </w:tcBorders>
                  <w:noWrap w:val="0"/>
                  <w:vAlign w:val="center"/>
                </w:tcPr>
                <w:p w14:paraId="14A1CC3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r>
            <w:tr w14:paraId="598C3A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continue"/>
                  <w:tcBorders>
                    <w:tl2br w:val="nil"/>
                    <w:tr2bl w:val="nil"/>
                  </w:tcBorders>
                  <w:noWrap w:val="0"/>
                  <w:vAlign w:val="center"/>
                </w:tcPr>
                <w:p w14:paraId="17F1CF87">
                  <w:pPr>
                    <w:spacing w:line="240" w:lineRule="auto"/>
                    <w:jc w:val="center"/>
                    <w:rPr>
                      <w:rFonts w:hint="default" w:ascii="Times New Roman" w:hAnsi="Times New Roman" w:cs="Times New Roman"/>
                      <w:b/>
                      <w:color w:val="auto"/>
                      <w:sz w:val="21"/>
                      <w:szCs w:val="21"/>
                      <w:vertAlign w:val="baseline"/>
                    </w:rPr>
                  </w:pPr>
                </w:p>
              </w:tc>
              <w:tc>
                <w:tcPr>
                  <w:tcW w:w="1295" w:type="dxa"/>
                  <w:tcBorders>
                    <w:tl2br w:val="nil"/>
                    <w:tr2bl w:val="nil"/>
                  </w:tcBorders>
                  <w:noWrap w:val="0"/>
                  <w:vAlign w:val="center"/>
                </w:tcPr>
                <w:p w14:paraId="445C901F">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kern w:val="0"/>
                      <w:sz w:val="21"/>
                      <w:szCs w:val="21"/>
                      <w:vertAlign w:val="baseline"/>
                      <w:lang w:val="en-US" w:eastAsia="zh-CN"/>
                    </w:rPr>
                    <w:t>3</w:t>
                  </w:r>
                  <w:r>
                    <w:rPr>
                      <w:rFonts w:hint="default" w:ascii="Times New Roman" w:hAnsi="Times New Roman" w:cs="Times New Roman"/>
                      <w:color w:val="auto"/>
                      <w:kern w:val="0"/>
                      <w:sz w:val="21"/>
                      <w:szCs w:val="21"/>
                      <w:vertAlign w:val="baseline"/>
                    </w:rPr>
                    <w:t>#</w:t>
                  </w:r>
                </w:p>
              </w:tc>
              <w:tc>
                <w:tcPr>
                  <w:tcW w:w="1295" w:type="dxa"/>
                  <w:tcBorders>
                    <w:tl2br w:val="nil"/>
                    <w:tr2bl w:val="nil"/>
                  </w:tcBorders>
                  <w:noWrap w:val="0"/>
                  <w:vAlign w:val="center"/>
                </w:tcPr>
                <w:p w14:paraId="295D6CBF">
                  <w:pPr>
                    <w:spacing w:line="240" w:lineRule="auto"/>
                    <w:jc w:val="center"/>
                    <w:rPr>
                      <w:rFonts w:hint="default" w:ascii="Times New Roman" w:hAnsi="Times New Roman" w:cs="Times New Roman"/>
                      <w:b/>
                      <w:color w:val="auto"/>
                      <w:sz w:val="21"/>
                      <w:szCs w:val="21"/>
                      <w:vertAlign w:val="baseline"/>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6A4B86F5">
                  <w:pPr>
                    <w:spacing w:line="240" w:lineRule="auto"/>
                    <w:jc w:val="center"/>
                    <w:rPr>
                      <w:rFonts w:hint="default" w:ascii="Times New Roman" w:hAnsi="Times New Roman" w:cs="Times New Roman"/>
                      <w:b w:val="0"/>
                      <w:bCs/>
                      <w:color w:val="auto"/>
                      <w:sz w:val="21"/>
                      <w:szCs w:val="21"/>
                      <w:vertAlign w:val="baseline"/>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38CA0B25">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58.1</w:t>
                  </w:r>
                </w:p>
              </w:tc>
              <w:tc>
                <w:tcPr>
                  <w:tcW w:w="1295" w:type="dxa"/>
                  <w:tcBorders>
                    <w:tl2br w:val="nil"/>
                    <w:tr2bl w:val="nil"/>
                  </w:tcBorders>
                  <w:noWrap w:val="0"/>
                  <w:vAlign w:val="center"/>
                </w:tcPr>
                <w:p w14:paraId="2B2B8B84">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43.8</w:t>
                  </w:r>
                </w:p>
              </w:tc>
              <w:tc>
                <w:tcPr>
                  <w:tcW w:w="1301" w:type="dxa"/>
                  <w:tcBorders>
                    <w:tl2br w:val="nil"/>
                    <w:tr2bl w:val="nil"/>
                  </w:tcBorders>
                  <w:noWrap w:val="0"/>
                  <w:vAlign w:val="center"/>
                </w:tcPr>
                <w:p w14:paraId="7CA7335D">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w:t>
                  </w:r>
                </w:p>
              </w:tc>
            </w:tr>
            <w:tr w14:paraId="68962E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continue"/>
                  <w:tcBorders>
                    <w:tl2br w:val="nil"/>
                    <w:tr2bl w:val="nil"/>
                  </w:tcBorders>
                  <w:noWrap w:val="0"/>
                  <w:vAlign w:val="center"/>
                </w:tcPr>
                <w:p w14:paraId="468A7097">
                  <w:pPr>
                    <w:spacing w:line="240" w:lineRule="auto"/>
                    <w:jc w:val="center"/>
                    <w:rPr>
                      <w:rFonts w:hint="default" w:ascii="Times New Roman" w:hAnsi="Times New Roman" w:cs="Times New Roman"/>
                      <w:b/>
                      <w:color w:val="auto"/>
                      <w:sz w:val="21"/>
                      <w:szCs w:val="21"/>
                      <w:vertAlign w:val="baseline"/>
                    </w:rPr>
                  </w:pPr>
                </w:p>
              </w:tc>
              <w:tc>
                <w:tcPr>
                  <w:tcW w:w="1295" w:type="dxa"/>
                  <w:tcBorders>
                    <w:tl2br w:val="nil"/>
                    <w:tr2bl w:val="nil"/>
                  </w:tcBorders>
                  <w:noWrap w:val="0"/>
                  <w:vAlign w:val="center"/>
                </w:tcPr>
                <w:p w14:paraId="4EA61A48">
                  <w:pPr>
                    <w:spacing w:line="240" w:lineRule="auto"/>
                    <w:jc w:val="center"/>
                    <w:rPr>
                      <w:rFonts w:hint="default"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lang w:val="en-US" w:eastAsia="zh-CN"/>
                    </w:rPr>
                    <w:t>4</w:t>
                  </w:r>
                  <w:r>
                    <w:rPr>
                      <w:rFonts w:hint="default" w:ascii="Times New Roman" w:hAnsi="Times New Roman" w:cs="Times New Roman"/>
                      <w:color w:val="auto"/>
                      <w:kern w:val="0"/>
                      <w:sz w:val="21"/>
                      <w:szCs w:val="21"/>
                      <w:vertAlign w:val="baseline"/>
                    </w:rPr>
                    <w:t>#</w:t>
                  </w:r>
                </w:p>
              </w:tc>
              <w:tc>
                <w:tcPr>
                  <w:tcW w:w="1295" w:type="dxa"/>
                  <w:tcBorders>
                    <w:tl2br w:val="nil"/>
                    <w:tr2bl w:val="nil"/>
                  </w:tcBorders>
                  <w:noWrap w:val="0"/>
                  <w:vAlign w:val="center"/>
                </w:tcPr>
                <w:p w14:paraId="21A6C2EC">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76C2C3E4">
                  <w:pPr>
                    <w:spacing w:line="240" w:lineRule="auto"/>
                    <w:jc w:val="center"/>
                    <w:rPr>
                      <w:rFonts w:hint="default" w:ascii="Times New Roman" w:hAnsi="Times New Roman" w:cs="Times New Roman"/>
                      <w:b w:val="0"/>
                      <w:bCs/>
                      <w:color w:val="auto"/>
                      <w:sz w:val="21"/>
                      <w:szCs w:val="21"/>
                      <w:vertAlign w:val="baseline"/>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50EEE39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54.4</w:t>
                  </w:r>
                </w:p>
              </w:tc>
              <w:tc>
                <w:tcPr>
                  <w:tcW w:w="1295" w:type="dxa"/>
                  <w:tcBorders>
                    <w:tl2br w:val="nil"/>
                    <w:tr2bl w:val="nil"/>
                  </w:tcBorders>
                  <w:noWrap w:val="0"/>
                  <w:vAlign w:val="center"/>
                </w:tcPr>
                <w:p w14:paraId="4A5EF56A">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49.8</w:t>
                  </w:r>
                </w:p>
              </w:tc>
              <w:tc>
                <w:tcPr>
                  <w:tcW w:w="1301" w:type="dxa"/>
                  <w:tcBorders>
                    <w:tl2br w:val="nil"/>
                    <w:tr2bl w:val="nil"/>
                  </w:tcBorders>
                  <w:noWrap w:val="0"/>
                  <w:vAlign w:val="center"/>
                </w:tcPr>
                <w:p w14:paraId="06838FAC">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52</w:t>
                  </w:r>
                </w:p>
              </w:tc>
            </w:tr>
            <w:tr w14:paraId="7CFCC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restart"/>
                  <w:tcBorders>
                    <w:tl2br w:val="nil"/>
                    <w:tr2bl w:val="nil"/>
                  </w:tcBorders>
                  <w:noWrap w:val="0"/>
                  <w:vAlign w:val="center"/>
                </w:tcPr>
                <w:p w14:paraId="5189DF3A">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6月</w:t>
                  </w:r>
                </w:p>
                <w:p w14:paraId="338DEDB9">
                  <w:pPr>
                    <w:snapToGrid w:val="0"/>
                    <w:spacing w:line="360" w:lineRule="auto"/>
                    <w:jc w:val="center"/>
                    <w:rPr>
                      <w:rFonts w:hint="default" w:ascii="Times New Roman" w:hAnsi="Times New Roman" w:cs="Times New Roman"/>
                      <w:b/>
                      <w:color w:val="auto"/>
                      <w:sz w:val="21"/>
                      <w:szCs w:val="21"/>
                      <w:vertAlign w:val="baseline"/>
                    </w:rPr>
                  </w:pPr>
                  <w:r>
                    <w:rPr>
                      <w:rFonts w:hint="eastAsia" w:ascii="Times New Roman" w:hAnsi="Times New Roman" w:eastAsia="宋体" w:cs="Times New Roman"/>
                      <w:color w:val="auto"/>
                      <w:spacing w:val="-12"/>
                      <w:sz w:val="21"/>
                      <w:szCs w:val="21"/>
                      <w:lang w:val="en-US" w:eastAsia="zh-CN"/>
                    </w:rPr>
                    <w:t>2日</w:t>
                  </w:r>
                </w:p>
              </w:tc>
              <w:tc>
                <w:tcPr>
                  <w:tcW w:w="1295" w:type="dxa"/>
                  <w:tcBorders>
                    <w:tl2br w:val="nil"/>
                    <w:tr2bl w:val="nil"/>
                  </w:tcBorders>
                  <w:noWrap w:val="0"/>
                  <w:vAlign w:val="center"/>
                </w:tcPr>
                <w:p w14:paraId="3FFE9735">
                  <w:pPr>
                    <w:spacing w:line="240" w:lineRule="auto"/>
                    <w:jc w:val="center"/>
                    <w:rPr>
                      <w:rFonts w:hint="default"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rPr>
                    <w:t>1#</w:t>
                  </w:r>
                </w:p>
              </w:tc>
              <w:tc>
                <w:tcPr>
                  <w:tcW w:w="1295" w:type="dxa"/>
                  <w:tcBorders>
                    <w:tl2br w:val="nil"/>
                    <w:tr2bl w:val="nil"/>
                  </w:tcBorders>
                  <w:noWrap w:val="0"/>
                  <w:vAlign w:val="center"/>
                </w:tcPr>
                <w:p w14:paraId="63A43D61">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27A9EEAD">
                  <w:pPr>
                    <w:spacing w:line="240" w:lineRule="auto"/>
                    <w:jc w:val="center"/>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30B2350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56.7</w:t>
                  </w:r>
                </w:p>
              </w:tc>
              <w:tc>
                <w:tcPr>
                  <w:tcW w:w="1295" w:type="dxa"/>
                  <w:tcBorders>
                    <w:tl2br w:val="nil"/>
                    <w:tr2bl w:val="nil"/>
                  </w:tcBorders>
                  <w:noWrap w:val="0"/>
                  <w:vAlign w:val="center"/>
                </w:tcPr>
                <w:p w14:paraId="48CEC10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45.2</w:t>
                  </w:r>
                </w:p>
              </w:tc>
              <w:tc>
                <w:tcPr>
                  <w:tcW w:w="1301" w:type="dxa"/>
                  <w:tcBorders>
                    <w:tl2br w:val="nil"/>
                    <w:tr2bl w:val="nil"/>
                  </w:tcBorders>
                  <w:noWrap w:val="0"/>
                  <w:vAlign w:val="center"/>
                </w:tcPr>
                <w:p w14:paraId="03597CFC">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57</w:t>
                  </w:r>
                </w:p>
              </w:tc>
            </w:tr>
            <w:tr w14:paraId="183FF0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continue"/>
                  <w:tcBorders>
                    <w:tl2br w:val="nil"/>
                    <w:tr2bl w:val="nil"/>
                  </w:tcBorders>
                  <w:noWrap w:val="0"/>
                  <w:vAlign w:val="center"/>
                </w:tcPr>
                <w:p w14:paraId="76B14C60">
                  <w:pPr>
                    <w:spacing w:line="240" w:lineRule="auto"/>
                    <w:jc w:val="center"/>
                    <w:rPr>
                      <w:rFonts w:hint="default" w:ascii="Times New Roman" w:hAnsi="Times New Roman" w:cs="Times New Roman"/>
                      <w:b/>
                      <w:color w:val="auto"/>
                      <w:sz w:val="21"/>
                      <w:szCs w:val="21"/>
                      <w:vertAlign w:val="baseline"/>
                    </w:rPr>
                  </w:pPr>
                </w:p>
              </w:tc>
              <w:tc>
                <w:tcPr>
                  <w:tcW w:w="1295" w:type="dxa"/>
                  <w:tcBorders>
                    <w:tl2br w:val="nil"/>
                    <w:tr2bl w:val="nil"/>
                  </w:tcBorders>
                  <w:noWrap w:val="0"/>
                  <w:vAlign w:val="center"/>
                </w:tcPr>
                <w:p w14:paraId="293E4B72">
                  <w:pPr>
                    <w:spacing w:line="240" w:lineRule="auto"/>
                    <w:jc w:val="center"/>
                    <w:rPr>
                      <w:rFonts w:hint="default"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rPr>
                    <w:t>2#</w:t>
                  </w:r>
                </w:p>
              </w:tc>
              <w:tc>
                <w:tcPr>
                  <w:tcW w:w="1295" w:type="dxa"/>
                  <w:tcBorders>
                    <w:tl2br w:val="nil"/>
                    <w:tr2bl w:val="nil"/>
                  </w:tcBorders>
                  <w:noWrap w:val="0"/>
                  <w:vAlign w:val="center"/>
                </w:tcPr>
                <w:p w14:paraId="268E4E61">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737692C3">
                  <w:pPr>
                    <w:spacing w:line="240" w:lineRule="auto"/>
                    <w:jc w:val="center"/>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73622B76">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56.0</w:t>
                  </w:r>
                </w:p>
              </w:tc>
              <w:tc>
                <w:tcPr>
                  <w:tcW w:w="1295" w:type="dxa"/>
                  <w:tcBorders>
                    <w:tl2br w:val="nil"/>
                    <w:tr2bl w:val="nil"/>
                  </w:tcBorders>
                  <w:noWrap w:val="0"/>
                  <w:vAlign w:val="center"/>
                </w:tcPr>
                <w:p w14:paraId="1E0AD659">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46.3</w:t>
                  </w:r>
                </w:p>
              </w:tc>
              <w:tc>
                <w:tcPr>
                  <w:tcW w:w="1301" w:type="dxa"/>
                  <w:tcBorders>
                    <w:tl2br w:val="nil"/>
                    <w:tr2bl w:val="nil"/>
                  </w:tcBorders>
                  <w:noWrap w:val="0"/>
                  <w:vAlign w:val="center"/>
                </w:tcPr>
                <w:p w14:paraId="577646B3">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r>
            <w:tr w14:paraId="45A20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continue"/>
                  <w:tcBorders>
                    <w:tl2br w:val="nil"/>
                    <w:tr2bl w:val="nil"/>
                  </w:tcBorders>
                  <w:noWrap w:val="0"/>
                  <w:vAlign w:val="center"/>
                </w:tcPr>
                <w:p w14:paraId="43E211F4">
                  <w:pPr>
                    <w:spacing w:line="240" w:lineRule="auto"/>
                    <w:jc w:val="center"/>
                    <w:rPr>
                      <w:rFonts w:hint="default" w:ascii="Times New Roman" w:hAnsi="Times New Roman" w:cs="Times New Roman"/>
                      <w:b/>
                      <w:color w:val="auto"/>
                      <w:sz w:val="21"/>
                      <w:szCs w:val="21"/>
                      <w:vertAlign w:val="baseline"/>
                    </w:rPr>
                  </w:pPr>
                </w:p>
              </w:tc>
              <w:tc>
                <w:tcPr>
                  <w:tcW w:w="1295" w:type="dxa"/>
                  <w:tcBorders>
                    <w:tl2br w:val="nil"/>
                    <w:tr2bl w:val="nil"/>
                  </w:tcBorders>
                  <w:noWrap w:val="0"/>
                  <w:vAlign w:val="center"/>
                </w:tcPr>
                <w:p w14:paraId="7A9237D9">
                  <w:pPr>
                    <w:spacing w:line="240" w:lineRule="auto"/>
                    <w:jc w:val="center"/>
                    <w:rPr>
                      <w:rFonts w:hint="default"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lang w:val="en-US" w:eastAsia="zh-CN"/>
                    </w:rPr>
                    <w:t>3</w:t>
                  </w:r>
                  <w:r>
                    <w:rPr>
                      <w:rFonts w:hint="default" w:ascii="Times New Roman" w:hAnsi="Times New Roman" w:cs="Times New Roman"/>
                      <w:color w:val="auto"/>
                      <w:kern w:val="0"/>
                      <w:sz w:val="21"/>
                      <w:szCs w:val="21"/>
                      <w:vertAlign w:val="baseline"/>
                    </w:rPr>
                    <w:t>#</w:t>
                  </w:r>
                </w:p>
              </w:tc>
              <w:tc>
                <w:tcPr>
                  <w:tcW w:w="1295" w:type="dxa"/>
                  <w:tcBorders>
                    <w:tl2br w:val="nil"/>
                    <w:tr2bl w:val="nil"/>
                  </w:tcBorders>
                  <w:noWrap w:val="0"/>
                  <w:vAlign w:val="center"/>
                </w:tcPr>
                <w:p w14:paraId="7EA98F84">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56EE9A85">
                  <w:pPr>
                    <w:spacing w:line="240" w:lineRule="auto"/>
                    <w:jc w:val="center"/>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75154057">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57.9</w:t>
                  </w:r>
                </w:p>
              </w:tc>
              <w:tc>
                <w:tcPr>
                  <w:tcW w:w="1295" w:type="dxa"/>
                  <w:tcBorders>
                    <w:tl2br w:val="nil"/>
                    <w:tr2bl w:val="nil"/>
                  </w:tcBorders>
                  <w:noWrap w:val="0"/>
                  <w:vAlign w:val="center"/>
                </w:tcPr>
                <w:p w14:paraId="3E54B451">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44.8</w:t>
                  </w:r>
                </w:p>
              </w:tc>
              <w:tc>
                <w:tcPr>
                  <w:tcW w:w="1301" w:type="dxa"/>
                  <w:tcBorders>
                    <w:tl2br w:val="nil"/>
                    <w:tr2bl w:val="nil"/>
                  </w:tcBorders>
                  <w:noWrap w:val="0"/>
                  <w:vAlign w:val="center"/>
                </w:tcPr>
                <w:p w14:paraId="30369A4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w:t>
                  </w:r>
                </w:p>
              </w:tc>
            </w:tr>
            <w:tr w14:paraId="35BD8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vMerge w:val="continue"/>
                  <w:tcBorders>
                    <w:tl2br w:val="nil"/>
                    <w:tr2bl w:val="nil"/>
                  </w:tcBorders>
                  <w:noWrap w:val="0"/>
                  <w:vAlign w:val="center"/>
                </w:tcPr>
                <w:p w14:paraId="4EF2CAED">
                  <w:pPr>
                    <w:spacing w:line="240" w:lineRule="auto"/>
                    <w:jc w:val="center"/>
                    <w:rPr>
                      <w:rFonts w:hint="default" w:ascii="Times New Roman" w:hAnsi="Times New Roman" w:cs="Times New Roman"/>
                      <w:b/>
                      <w:color w:val="auto"/>
                      <w:sz w:val="21"/>
                      <w:szCs w:val="21"/>
                      <w:vertAlign w:val="baseline"/>
                    </w:rPr>
                  </w:pPr>
                </w:p>
              </w:tc>
              <w:tc>
                <w:tcPr>
                  <w:tcW w:w="1295" w:type="dxa"/>
                  <w:tcBorders>
                    <w:tl2br w:val="nil"/>
                    <w:tr2bl w:val="nil"/>
                  </w:tcBorders>
                  <w:noWrap w:val="0"/>
                  <w:vAlign w:val="center"/>
                </w:tcPr>
                <w:p w14:paraId="3A9FCB8F">
                  <w:pPr>
                    <w:spacing w:line="240" w:lineRule="auto"/>
                    <w:jc w:val="center"/>
                    <w:rPr>
                      <w:rFonts w:hint="default" w:ascii="Times New Roman" w:hAnsi="Times New Roman" w:cs="Times New Roman"/>
                      <w:color w:val="auto"/>
                      <w:kern w:val="0"/>
                      <w:sz w:val="21"/>
                      <w:szCs w:val="21"/>
                      <w:vertAlign w:val="baseline"/>
                      <w:lang w:val="en-US" w:eastAsia="zh-CN"/>
                    </w:rPr>
                  </w:pPr>
                  <w:r>
                    <w:rPr>
                      <w:rFonts w:hint="default" w:ascii="Times New Roman" w:hAnsi="Times New Roman" w:cs="Times New Roman"/>
                      <w:color w:val="auto"/>
                      <w:kern w:val="0"/>
                      <w:sz w:val="21"/>
                      <w:szCs w:val="21"/>
                      <w:vertAlign w:val="baseline"/>
                      <w:lang w:val="en-US" w:eastAsia="zh-CN"/>
                    </w:rPr>
                    <w:t>4</w:t>
                  </w:r>
                  <w:r>
                    <w:rPr>
                      <w:rFonts w:hint="default" w:ascii="Times New Roman" w:hAnsi="Times New Roman" w:cs="Times New Roman"/>
                      <w:color w:val="auto"/>
                      <w:kern w:val="0"/>
                      <w:sz w:val="21"/>
                      <w:szCs w:val="21"/>
                      <w:vertAlign w:val="baseline"/>
                    </w:rPr>
                    <w:t>#</w:t>
                  </w:r>
                </w:p>
              </w:tc>
              <w:tc>
                <w:tcPr>
                  <w:tcW w:w="1295" w:type="dxa"/>
                  <w:tcBorders>
                    <w:tl2br w:val="nil"/>
                    <w:tr2bl w:val="nil"/>
                  </w:tcBorders>
                  <w:noWrap w:val="0"/>
                  <w:vAlign w:val="center"/>
                </w:tcPr>
                <w:p w14:paraId="4665122F">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昼间</w:t>
                  </w:r>
                </w:p>
              </w:tc>
              <w:tc>
                <w:tcPr>
                  <w:tcW w:w="1295" w:type="dxa"/>
                  <w:tcBorders>
                    <w:tl2br w:val="nil"/>
                    <w:tr2bl w:val="nil"/>
                  </w:tcBorders>
                  <w:noWrap w:val="0"/>
                  <w:vAlign w:val="center"/>
                </w:tcPr>
                <w:p w14:paraId="0951AA17">
                  <w:pPr>
                    <w:spacing w:line="240" w:lineRule="auto"/>
                    <w:jc w:val="center"/>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社会</w:t>
                  </w:r>
                  <w:r>
                    <w:rPr>
                      <w:rFonts w:hint="default" w:ascii="Times New Roman" w:hAnsi="Times New Roman" w:eastAsia="宋体" w:cs="Times New Roman"/>
                      <w:b w:val="0"/>
                      <w:bCs/>
                      <w:color w:val="auto"/>
                      <w:sz w:val="21"/>
                      <w:szCs w:val="21"/>
                      <w:vertAlign w:val="baseline"/>
                      <w:lang w:val="en-US" w:eastAsia="zh-CN"/>
                    </w:rPr>
                    <w:t>、风机</w:t>
                  </w:r>
                </w:p>
              </w:tc>
              <w:tc>
                <w:tcPr>
                  <w:tcW w:w="1295" w:type="dxa"/>
                  <w:tcBorders>
                    <w:tl2br w:val="nil"/>
                    <w:tr2bl w:val="nil"/>
                  </w:tcBorders>
                  <w:noWrap w:val="0"/>
                  <w:vAlign w:val="center"/>
                </w:tcPr>
                <w:p w14:paraId="7B44455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55.4</w:t>
                  </w:r>
                </w:p>
              </w:tc>
              <w:tc>
                <w:tcPr>
                  <w:tcW w:w="1295" w:type="dxa"/>
                  <w:tcBorders>
                    <w:tl2br w:val="nil"/>
                    <w:tr2bl w:val="nil"/>
                  </w:tcBorders>
                  <w:noWrap w:val="0"/>
                  <w:vAlign w:val="center"/>
                </w:tcPr>
                <w:p w14:paraId="5A1E7887">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47.7</w:t>
                  </w:r>
                </w:p>
              </w:tc>
              <w:tc>
                <w:tcPr>
                  <w:tcW w:w="1301" w:type="dxa"/>
                  <w:tcBorders>
                    <w:tl2br w:val="nil"/>
                    <w:tr2bl w:val="nil"/>
                  </w:tcBorders>
                  <w:noWrap w:val="0"/>
                  <w:vAlign w:val="center"/>
                </w:tcPr>
                <w:p w14:paraId="656D9C5E">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w:t>
                  </w:r>
                </w:p>
              </w:tc>
            </w:tr>
            <w:tr w14:paraId="255EE9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tcBorders>
                    <w:tl2br w:val="nil"/>
                    <w:tr2bl w:val="nil"/>
                  </w:tcBorders>
                  <w:noWrap w:val="0"/>
                  <w:vAlign w:val="center"/>
                </w:tcPr>
                <w:p w14:paraId="751E47AA">
                  <w:pPr>
                    <w:snapToGrid w:val="0"/>
                    <w:spacing w:line="360" w:lineRule="auto"/>
                    <w:jc w:val="center"/>
                    <w:rPr>
                      <w:rFonts w:hint="default" w:ascii="Times New Roman" w:hAnsi="Times New Roman" w:eastAsia="宋体" w:cs="Times New Roman"/>
                      <w:color w:val="1F497D"/>
                      <w:kern w:val="0"/>
                      <w:sz w:val="21"/>
                      <w:szCs w:val="21"/>
                      <w:lang w:eastAsia="zh-CN"/>
                    </w:rPr>
                  </w:pPr>
                  <w:r>
                    <w:rPr>
                      <w:rFonts w:hint="eastAsia" w:ascii="Times New Roman" w:hAnsi="Times New Roman" w:eastAsia="宋体" w:cs="Times New Roman"/>
                      <w:color w:val="auto"/>
                      <w:kern w:val="0"/>
                      <w:sz w:val="21"/>
                      <w:szCs w:val="21"/>
                      <w:lang w:val="en-US" w:eastAsia="zh-CN"/>
                    </w:rPr>
                    <w:t>备注</w:t>
                  </w:r>
                </w:p>
              </w:tc>
              <w:tc>
                <w:tcPr>
                  <w:tcW w:w="7776" w:type="dxa"/>
                  <w:gridSpan w:val="6"/>
                  <w:tcBorders>
                    <w:tl2br w:val="nil"/>
                    <w:tr2bl w:val="nil"/>
                  </w:tcBorders>
                  <w:noWrap w:val="0"/>
                  <w:vAlign w:val="center"/>
                </w:tcPr>
                <w:p w14:paraId="2E595330">
                  <w:pPr>
                    <w:snapToGrid w:val="0"/>
                    <w:spacing w:line="360" w:lineRule="auto"/>
                    <w:jc w:val="both"/>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spacing w:val="-12"/>
                      <w:sz w:val="21"/>
                      <w:szCs w:val="21"/>
                      <w:lang w:val="en-US" w:eastAsia="zh-CN"/>
                    </w:rPr>
                    <w:t>检测时，6月1日</w:t>
                  </w:r>
                  <w:r>
                    <w:rPr>
                      <w:rFonts w:hint="default" w:ascii="Times New Roman" w:hAnsi="Times New Roman" w:eastAsia="宋体" w:cs="Times New Roman"/>
                      <w:color w:val="auto"/>
                      <w:kern w:val="0"/>
                      <w:sz w:val="21"/>
                      <w:szCs w:val="21"/>
                    </w:rPr>
                    <w:t>，天气</w:t>
                  </w:r>
                  <w:r>
                    <w:rPr>
                      <w:rFonts w:hint="default" w:ascii="Times New Roman" w:hAnsi="Times New Roman" w:eastAsia="宋体" w:cs="Times New Roman"/>
                      <w:color w:val="auto"/>
                      <w:kern w:val="0"/>
                      <w:sz w:val="21"/>
                      <w:szCs w:val="21"/>
                      <w:lang w:eastAsia="zh-CN"/>
                    </w:rPr>
                    <w:t>晴</w:t>
                  </w:r>
                  <w:r>
                    <w:rPr>
                      <w:rFonts w:hint="default" w:ascii="Times New Roman" w:hAnsi="Times New Roman" w:eastAsia="宋体" w:cs="Times New Roman"/>
                      <w:color w:val="auto"/>
                      <w:kern w:val="0"/>
                      <w:sz w:val="21"/>
                      <w:szCs w:val="21"/>
                    </w:rPr>
                    <w:t>，风速</w:t>
                  </w:r>
                  <w:r>
                    <w:rPr>
                      <w:rFonts w:hint="eastAsia" w:ascii="Times New Roman" w:hAnsi="Times New Roman" w:eastAsia="宋体" w:cs="Times New Roman"/>
                      <w:color w:val="auto"/>
                      <w:kern w:val="0"/>
                      <w:sz w:val="21"/>
                      <w:szCs w:val="21"/>
                      <w:lang w:val="en-US" w:eastAsia="zh-CN"/>
                    </w:rPr>
                    <w:t>0.6</w:t>
                  </w:r>
                  <w:r>
                    <w:rPr>
                      <w:rFonts w:hint="default" w:ascii="Times New Roman" w:hAnsi="Times New Roman" w:eastAsia="宋体" w:cs="Times New Roman"/>
                      <w:color w:val="auto"/>
                      <w:kern w:val="0"/>
                      <w:sz w:val="21"/>
                      <w:szCs w:val="21"/>
                      <w:lang w:val="en-US" w:eastAsia="zh-CN"/>
                    </w:rPr>
                    <w:t>m</w:t>
                  </w:r>
                  <w:r>
                    <w:rPr>
                      <w:rFonts w:hint="default" w:ascii="Times New Roman" w:hAnsi="Times New Roman" w:eastAsia="宋体" w:cs="Times New Roman"/>
                      <w:color w:val="auto"/>
                      <w:kern w:val="0"/>
                      <w:sz w:val="21"/>
                      <w:szCs w:val="21"/>
                    </w:rPr>
                    <w:t>/s</w:t>
                  </w:r>
                  <w:r>
                    <w:rPr>
                      <w:rFonts w:hint="eastAsia" w:ascii="Times New Roman" w:hAnsi="Times New Roman" w:eastAsia="宋体" w:cs="Times New Roman"/>
                      <w:color w:val="auto"/>
                      <w:kern w:val="0"/>
                      <w:sz w:val="21"/>
                      <w:szCs w:val="21"/>
                      <w:lang w:eastAsia="zh-CN"/>
                    </w:rPr>
                    <w:t>；</w:t>
                  </w:r>
                  <w:r>
                    <w:rPr>
                      <w:rFonts w:hint="eastAsia" w:ascii="Times New Roman" w:hAnsi="Times New Roman" w:eastAsia="宋体" w:cs="Times New Roman"/>
                      <w:color w:val="auto"/>
                      <w:spacing w:val="-12"/>
                      <w:sz w:val="21"/>
                      <w:szCs w:val="21"/>
                      <w:lang w:val="en-US" w:eastAsia="zh-CN"/>
                    </w:rPr>
                    <w:t>6月2日</w:t>
                  </w:r>
                  <w:r>
                    <w:rPr>
                      <w:rFonts w:hint="default" w:ascii="Times New Roman" w:hAnsi="Times New Roman" w:eastAsia="宋体" w:cs="Times New Roman"/>
                      <w:color w:val="auto"/>
                      <w:kern w:val="0"/>
                      <w:sz w:val="21"/>
                      <w:szCs w:val="21"/>
                    </w:rPr>
                    <w:t>，天气</w:t>
                  </w:r>
                  <w:r>
                    <w:rPr>
                      <w:rFonts w:hint="eastAsia" w:ascii="Times New Roman" w:hAnsi="Times New Roman" w:eastAsia="宋体" w:cs="Times New Roman"/>
                      <w:color w:val="auto"/>
                      <w:kern w:val="0"/>
                      <w:sz w:val="21"/>
                      <w:szCs w:val="21"/>
                      <w:lang w:val="en-US" w:eastAsia="zh-CN"/>
                    </w:rPr>
                    <w:t>晴</w:t>
                  </w:r>
                  <w:r>
                    <w:rPr>
                      <w:rFonts w:hint="default" w:ascii="Times New Roman" w:hAnsi="Times New Roman" w:eastAsia="宋体" w:cs="Times New Roman"/>
                      <w:color w:val="auto"/>
                      <w:kern w:val="0"/>
                      <w:sz w:val="21"/>
                      <w:szCs w:val="21"/>
                    </w:rPr>
                    <w:t>，风速</w:t>
                  </w:r>
                  <w:r>
                    <w:rPr>
                      <w:rFonts w:hint="eastAsia" w:ascii="Times New Roman" w:hAnsi="Times New Roman" w:eastAsia="宋体" w:cs="Times New Roman"/>
                      <w:color w:val="auto"/>
                      <w:kern w:val="0"/>
                      <w:sz w:val="21"/>
                      <w:szCs w:val="21"/>
                      <w:lang w:val="en-US" w:eastAsia="zh-CN"/>
                    </w:rPr>
                    <w:t>0.7</w:t>
                  </w:r>
                  <w:r>
                    <w:rPr>
                      <w:rFonts w:hint="default" w:ascii="Times New Roman" w:hAnsi="Times New Roman" w:eastAsia="宋体" w:cs="Times New Roman"/>
                      <w:color w:val="auto"/>
                      <w:kern w:val="0"/>
                      <w:sz w:val="21"/>
                      <w:szCs w:val="21"/>
                      <w:lang w:val="en-US" w:eastAsia="zh-CN"/>
                    </w:rPr>
                    <w:t>m</w:t>
                  </w:r>
                  <w:r>
                    <w:rPr>
                      <w:rFonts w:hint="default" w:ascii="Times New Roman" w:hAnsi="Times New Roman" w:eastAsia="宋体" w:cs="Times New Roman"/>
                      <w:color w:val="auto"/>
                      <w:kern w:val="0"/>
                      <w:sz w:val="21"/>
                      <w:szCs w:val="21"/>
                    </w:rPr>
                    <w:t>/s</w:t>
                  </w:r>
                  <w:r>
                    <w:rPr>
                      <w:rFonts w:hint="eastAsia"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lang w:eastAsia="zh-CN"/>
                    </w:rPr>
                    <w:t>点位均位于厂界外</w:t>
                  </w:r>
                  <w:r>
                    <w:rPr>
                      <w:rFonts w:hint="default" w:ascii="Times New Roman" w:hAnsi="Times New Roman" w:eastAsia="宋体" w:cs="Times New Roman"/>
                      <w:color w:val="auto"/>
                      <w:kern w:val="0"/>
                      <w:sz w:val="21"/>
                      <w:szCs w:val="21"/>
                      <w:lang w:val="en-US" w:eastAsia="zh-CN"/>
                    </w:rPr>
                    <w:t>1 m处</w:t>
                  </w:r>
                  <w:r>
                    <w:rPr>
                      <w:rFonts w:hint="default" w:ascii="Times New Roman" w:hAnsi="Times New Roman" w:cs="Times New Roman"/>
                      <w:color w:val="auto"/>
                      <w:sz w:val="21"/>
                      <w:szCs w:val="21"/>
                      <w:vertAlign w:val="baseline"/>
                      <w:lang w:val="en-US" w:eastAsia="zh-CN"/>
                    </w:rPr>
                    <w:t>。</w:t>
                  </w:r>
                </w:p>
              </w:tc>
            </w:tr>
          </w:tbl>
          <w:p w14:paraId="6F1FDC66">
            <w:pPr>
              <w:spacing w:line="240" w:lineRule="auto"/>
              <w:jc w:val="center"/>
              <w:rPr>
                <w:rFonts w:hint="default" w:ascii="Times New Roman" w:hAnsi="Times New Roman" w:cs="Times New Roman"/>
                <w:b/>
                <w:bCs/>
                <w:color w:val="0000FF"/>
                <w:sz w:val="24"/>
                <w:szCs w:val="24"/>
                <w:lang w:val="en-US" w:eastAsia="zh-CN"/>
              </w:rPr>
            </w:pPr>
          </w:p>
          <w:p w14:paraId="022F408F">
            <w:pPr>
              <w:keepNext w:val="0"/>
              <w:keepLines w:val="0"/>
              <w:pageBreakBefore w:val="0"/>
              <w:widowControl w:val="0"/>
              <w:kinsoku/>
              <w:wordWrap/>
              <w:overflowPunct/>
              <w:topLinePunct w:val="0"/>
              <w:autoSpaceDE/>
              <w:autoSpaceDN/>
              <w:bidi w:val="0"/>
              <w:adjustRightInd/>
              <w:snapToGrid w:val="0"/>
              <w:spacing w:line="360" w:lineRule="auto"/>
              <w:ind w:right="0" w:rightChars="0" w:firstLine="482" w:firstLineChars="20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bCs/>
                <w:sz w:val="24"/>
                <w:szCs w:val="24"/>
              </w:rPr>
              <w:t>噪声：</w:t>
            </w:r>
            <w:r>
              <w:rPr>
                <w:rFonts w:hint="default" w:ascii="Times New Roman" w:hAnsi="Times New Roman" w:eastAsia="宋体" w:cs="Times New Roman"/>
                <w:color w:val="auto"/>
                <w:sz w:val="24"/>
                <w:szCs w:val="24"/>
                <w:lang w:val="en-US" w:eastAsia="zh-CN"/>
              </w:rPr>
              <w:t>按照《工业企业厂界环境噪声排放标准》GB 12348-2008表1 中</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类标准进行评价，</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w:t>
            </w:r>
            <w:r>
              <w:rPr>
                <w:rFonts w:hint="default" w:ascii="Times New Roman" w:hAnsi="Times New Roman" w:eastAsia="宋体" w:cs="Times New Roman"/>
                <w:color w:val="auto"/>
                <w:sz w:val="24"/>
                <w:szCs w:val="24"/>
                <w:lang w:val="en-US" w:eastAsia="zh-CN"/>
              </w:rPr>
              <w:t>，4个厂界噪声点在</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-2日连续两天监测数据表明昼</w:t>
            </w:r>
            <w:r>
              <w:rPr>
                <w:rFonts w:hint="eastAsia" w:cs="Times New Roman"/>
                <w:color w:val="auto"/>
                <w:sz w:val="24"/>
                <w:szCs w:val="24"/>
                <w:lang w:val="en-US" w:eastAsia="zh-CN"/>
              </w:rPr>
              <w:t>间</w:t>
            </w:r>
            <w:r>
              <w:rPr>
                <w:rFonts w:hint="default" w:ascii="Times New Roman" w:hAnsi="Times New Roman" w:eastAsia="宋体" w:cs="Times New Roman"/>
                <w:color w:val="auto"/>
                <w:sz w:val="24"/>
                <w:szCs w:val="24"/>
                <w:lang w:val="en-US" w:eastAsia="zh-CN"/>
              </w:rPr>
              <w:t>等效A声级均</w:t>
            </w:r>
            <w:r>
              <w:rPr>
                <w:rFonts w:hint="default" w:ascii="Times New Roman" w:hAnsi="Times New Roman" w:eastAsia="宋体" w:cs="Times New Roman"/>
                <w:b/>
                <w:bCs/>
                <w:color w:val="auto"/>
                <w:sz w:val="24"/>
                <w:szCs w:val="24"/>
                <w:lang w:val="en-US" w:eastAsia="zh-CN"/>
              </w:rPr>
              <w:t>达标</w:t>
            </w:r>
            <w:r>
              <w:rPr>
                <w:rFonts w:hint="default" w:ascii="Times New Roman" w:hAnsi="Times New Roman" w:eastAsia="宋体" w:cs="Times New Roman"/>
                <w:color w:val="auto"/>
                <w:sz w:val="24"/>
                <w:szCs w:val="24"/>
                <w:lang w:val="en-US" w:eastAsia="zh-CN"/>
              </w:rPr>
              <w:t>。</w:t>
            </w:r>
          </w:p>
          <w:p w14:paraId="072635D8">
            <w:pPr>
              <w:numPr>
                <w:ilvl w:val="0"/>
                <w:numId w:val="0"/>
              </w:numPr>
              <w:spacing w:line="360" w:lineRule="auto"/>
              <w:rPr>
                <w:rFonts w:hint="default" w:ascii="Times New Roman" w:hAnsi="Times New Roman" w:cs="Times New Roman"/>
                <w:b/>
                <w:bCs/>
                <w:color w:val="0000FF"/>
                <w:sz w:val="24"/>
                <w:szCs w:val="24"/>
              </w:rPr>
            </w:pPr>
            <w:r>
              <w:rPr>
                <w:rFonts w:hint="eastAsia" w:cs="Times New Roman"/>
                <w:b/>
                <w:bCs/>
                <w:color w:val="auto"/>
                <w:sz w:val="24"/>
                <w:szCs w:val="24"/>
                <w:lang w:val="en-US" w:eastAsia="zh-CN"/>
              </w:rPr>
              <w:t>4</w:t>
            </w:r>
            <w:r>
              <w:rPr>
                <w:rFonts w:hint="eastAsia" w:ascii="Times New Roman" w:hAnsi="Times New Roman" w:cs="Times New Roman"/>
                <w:b/>
                <w:bCs/>
                <w:color w:val="auto"/>
                <w:sz w:val="24"/>
                <w:szCs w:val="24"/>
                <w:lang w:val="en-US" w:eastAsia="zh-CN"/>
              </w:rPr>
              <w:t>. 废水</w:t>
            </w:r>
            <w:r>
              <w:rPr>
                <w:rFonts w:hint="default" w:ascii="Times New Roman" w:hAnsi="Times New Roman" w:cs="Times New Roman"/>
                <w:b/>
                <w:bCs/>
                <w:color w:val="auto"/>
                <w:sz w:val="24"/>
                <w:szCs w:val="24"/>
              </w:rPr>
              <w:t>验收</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结果</w:t>
            </w:r>
          </w:p>
          <w:p w14:paraId="6FF1F9AA">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eastAsia" w:cs="Times New Roman"/>
                <w:b/>
                <w:bCs/>
                <w:color w:val="auto"/>
                <w:sz w:val="24"/>
                <w:szCs w:val="24"/>
                <w:lang w:val="en-US" w:eastAsia="zh-CN"/>
              </w:rPr>
            </w:pPr>
            <w:r>
              <w:rPr>
                <w:rFonts w:hint="eastAsia" w:ascii="Times New Roman" w:hAnsi="Times New Roman" w:cs="Times New Roman"/>
                <w:color w:val="auto"/>
                <w:spacing w:val="4"/>
                <w:sz w:val="24"/>
                <w:szCs w:val="24"/>
                <w:lang w:val="en-US" w:eastAsia="zh-CN"/>
              </w:rPr>
              <w:t>废水</w:t>
            </w:r>
            <w:r>
              <w:rPr>
                <w:rFonts w:hint="default" w:ascii="Times New Roman" w:hAnsi="Times New Roman" w:eastAsia="宋体" w:cs="Times New Roman"/>
                <w:color w:val="auto"/>
                <w:spacing w:val="4"/>
                <w:sz w:val="24"/>
                <w:szCs w:val="24"/>
                <w:lang w:val="en-US" w:eastAsia="zh-CN"/>
              </w:rPr>
              <w:t>：</w:t>
            </w:r>
            <w:r>
              <w:rPr>
                <w:rFonts w:hint="eastAsia" w:ascii="Times New Roman" w:hAnsi="Times New Roman" w:eastAsia="宋体" w:cs="Times New Roman"/>
                <w:spacing w:val="4"/>
                <w:kern w:val="2"/>
                <w:sz w:val="24"/>
                <w:szCs w:val="24"/>
                <w:lang w:val="en-US" w:eastAsia="zh-CN" w:bidi="ar-SA"/>
              </w:rPr>
              <w:t>处理设施废水总排口</w:t>
            </w:r>
            <w:r>
              <w:rPr>
                <w:rFonts w:hint="default" w:ascii="Times New Roman" w:hAnsi="Times New Roman" w:eastAsia="宋体" w:cs="Times New Roman"/>
                <w:spacing w:val="4"/>
                <w:kern w:val="2"/>
                <w:sz w:val="24"/>
                <w:szCs w:val="24"/>
                <w:lang w:val="en-US" w:eastAsia="zh-CN" w:bidi="ar-SA"/>
              </w:rPr>
              <w:t>，项目为pH、化学需氧量、五日生化需氧量</w:t>
            </w:r>
            <w:r>
              <w:rPr>
                <w:rFonts w:hint="eastAsia" w:ascii="Times New Roman" w:hAnsi="Times New Roman" w:eastAsia="宋体" w:cs="Times New Roman"/>
                <w:spacing w:val="4"/>
                <w:kern w:val="2"/>
                <w:sz w:val="24"/>
                <w:szCs w:val="24"/>
                <w:lang w:val="en-US" w:eastAsia="zh-CN" w:bidi="ar-SA"/>
              </w:rPr>
              <w:t>、</w:t>
            </w:r>
            <w:r>
              <w:rPr>
                <w:rFonts w:hint="default" w:ascii="Times New Roman" w:hAnsi="Times New Roman" w:eastAsia="宋体" w:cs="Times New Roman"/>
                <w:spacing w:val="4"/>
                <w:kern w:val="2"/>
                <w:sz w:val="24"/>
                <w:szCs w:val="24"/>
                <w:lang w:val="en-US" w:eastAsia="zh-CN" w:bidi="ar-SA"/>
              </w:rPr>
              <w:t>氨氮</w:t>
            </w:r>
            <w:r>
              <w:rPr>
                <w:rFonts w:hint="eastAsia" w:ascii="Times New Roman" w:hAnsi="Times New Roman" w:eastAsia="宋体" w:cs="Times New Roman"/>
                <w:spacing w:val="4"/>
                <w:kern w:val="2"/>
                <w:sz w:val="24"/>
                <w:szCs w:val="24"/>
                <w:lang w:val="en-US" w:eastAsia="zh-CN" w:bidi="ar-SA"/>
              </w:rPr>
              <w:t>、总氮，</w:t>
            </w:r>
            <w:r>
              <w:rPr>
                <w:rFonts w:hint="default" w:ascii="Times New Roman" w:hAnsi="Times New Roman" w:eastAsia="宋体" w:cs="Times New Roman"/>
                <w:spacing w:val="4"/>
                <w:kern w:val="2"/>
                <w:sz w:val="24"/>
                <w:szCs w:val="24"/>
                <w:lang w:val="en-US" w:eastAsia="zh-CN" w:bidi="ar-SA"/>
              </w:rPr>
              <w:t>每天</w:t>
            </w:r>
            <w:r>
              <w:rPr>
                <w:rFonts w:hint="eastAsia" w:ascii="Times New Roman" w:hAnsi="Times New Roman" w:eastAsia="宋体" w:cs="Times New Roman"/>
                <w:spacing w:val="4"/>
                <w:kern w:val="2"/>
                <w:sz w:val="24"/>
                <w:szCs w:val="24"/>
                <w:lang w:val="en-US" w:eastAsia="zh-CN" w:bidi="ar-SA"/>
              </w:rPr>
              <w:t>采样4次</w:t>
            </w:r>
            <w:r>
              <w:rPr>
                <w:rFonts w:hint="default" w:ascii="Times New Roman" w:hAnsi="Times New Roman" w:eastAsia="宋体" w:cs="Times New Roman"/>
                <w:spacing w:val="4"/>
                <w:kern w:val="2"/>
                <w:sz w:val="24"/>
                <w:szCs w:val="24"/>
                <w:lang w:val="en-US" w:eastAsia="zh-CN" w:bidi="ar-SA"/>
              </w:rPr>
              <w:t>，连续监测二天</w:t>
            </w:r>
            <w:r>
              <w:rPr>
                <w:rFonts w:hint="eastAsia" w:ascii="Times New Roman" w:hAnsi="Times New Roman" w:eastAsia="宋体" w:cs="Times New Roman"/>
                <w:spacing w:val="4"/>
                <w:kern w:val="2"/>
                <w:sz w:val="24"/>
                <w:szCs w:val="24"/>
                <w:lang w:val="en-US" w:eastAsia="zh-CN" w:bidi="ar-SA"/>
              </w:rPr>
              <w:t>，检测结果</w:t>
            </w:r>
            <w:r>
              <w:rPr>
                <w:rFonts w:hint="default" w:ascii="Times New Roman" w:hAnsi="Times New Roman" w:eastAsia="宋体" w:cs="Times New Roman"/>
                <w:spacing w:val="4"/>
                <w:kern w:val="2"/>
                <w:sz w:val="24"/>
                <w:szCs w:val="24"/>
                <w:lang w:val="en-US" w:eastAsia="zh-CN" w:bidi="ar-SA"/>
              </w:rPr>
              <w:t>详</w:t>
            </w:r>
            <w:r>
              <w:rPr>
                <w:rFonts w:hint="default" w:ascii="Times New Roman" w:hAnsi="Times New Roman" w:eastAsia="宋体" w:cs="Times New Roman"/>
                <w:color w:val="auto"/>
                <w:spacing w:val="4"/>
                <w:sz w:val="24"/>
                <w:szCs w:val="24"/>
                <w:lang w:val="en-US" w:eastAsia="zh-CN"/>
              </w:rPr>
              <w:t>见表</w:t>
            </w:r>
            <w:r>
              <w:rPr>
                <w:rFonts w:hint="eastAsia" w:ascii="Times New Roman" w:hAnsi="Times New Roman" w:eastAsia="宋体" w:cs="Times New Roman"/>
                <w:color w:val="auto"/>
                <w:spacing w:val="4"/>
                <w:sz w:val="24"/>
                <w:szCs w:val="24"/>
                <w:lang w:val="en-US" w:eastAsia="zh-CN"/>
              </w:rPr>
              <w:t>7-4</w:t>
            </w:r>
            <w:r>
              <w:rPr>
                <w:rFonts w:hint="default" w:ascii="Times New Roman" w:hAnsi="Times New Roman" w:eastAsia="宋体" w:cs="Times New Roman"/>
                <w:color w:val="auto"/>
                <w:spacing w:val="4"/>
                <w:sz w:val="24"/>
                <w:szCs w:val="24"/>
                <w:lang w:val="en-US" w:eastAsia="zh-CN"/>
              </w:rPr>
              <w:t>。</w:t>
            </w:r>
            <w:r>
              <w:rPr>
                <w:rFonts w:hint="eastAsia" w:cs="Times New Roman"/>
                <w:b/>
                <w:bCs/>
                <w:color w:val="auto"/>
                <w:sz w:val="24"/>
                <w:szCs w:val="24"/>
                <w:lang w:val="en-US" w:eastAsia="zh-CN"/>
              </w:rPr>
              <w:t xml:space="preserve">                        </w:t>
            </w:r>
          </w:p>
          <w:p w14:paraId="4CD7E6DE">
            <w:pPr>
              <w:spacing w:line="240" w:lineRule="auto"/>
              <w:jc w:val="center"/>
              <w:rPr>
                <w:rFonts w:hint="default" w:ascii="Times New Roman" w:hAnsi="Times New Roman" w:cs="Times New Roman"/>
                <w:b/>
                <w:bCs/>
                <w:color w:val="0000FF"/>
                <w:sz w:val="21"/>
                <w:szCs w:val="21"/>
                <w:lang w:val="en-US" w:eastAsia="zh-CN"/>
              </w:rPr>
            </w:pPr>
            <w:r>
              <w:rPr>
                <w:rFonts w:hint="eastAsia"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表7-</w:t>
            </w:r>
            <w:r>
              <w:rPr>
                <w:rFonts w:hint="eastAsia"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废水</w:t>
            </w:r>
            <w:r>
              <w:rPr>
                <w:rFonts w:hint="eastAsia" w:cs="Times New Roman"/>
                <w:b/>
                <w:bCs/>
                <w:color w:val="auto"/>
                <w:sz w:val="24"/>
                <w:szCs w:val="24"/>
                <w:lang w:val="en-US" w:eastAsia="zh-CN"/>
              </w:rPr>
              <w:t>出</w:t>
            </w:r>
            <w:r>
              <w:rPr>
                <w:rFonts w:hint="eastAsia" w:ascii="Times New Roman" w:hAnsi="Times New Roman" w:cs="Times New Roman"/>
                <w:b/>
                <w:bCs/>
                <w:color w:val="auto"/>
                <w:sz w:val="24"/>
                <w:szCs w:val="24"/>
                <w:lang w:val="en-US" w:eastAsia="zh-CN"/>
              </w:rPr>
              <w:t>口检测</w:t>
            </w:r>
            <w:r>
              <w:rPr>
                <w:rFonts w:hint="default" w:ascii="Times New Roman" w:hAnsi="Times New Roman" w:cs="Times New Roman"/>
                <w:b/>
                <w:bCs/>
                <w:color w:val="auto"/>
                <w:sz w:val="24"/>
                <w:szCs w:val="24"/>
                <w:lang w:val="en-US" w:eastAsia="zh-CN"/>
              </w:rPr>
              <w:t>结果表</w:t>
            </w:r>
            <w:r>
              <w:rPr>
                <w:rFonts w:hint="eastAsia"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0000FF"/>
                <w:sz w:val="24"/>
                <w:szCs w:val="24"/>
                <w:lang w:val="en-US" w:eastAsia="zh-CN"/>
              </w:rPr>
              <w:t xml:space="preserve"> </w:t>
            </w:r>
            <w:r>
              <w:rPr>
                <w:rFonts w:hint="eastAsia" w:ascii="Times New Roman" w:hAnsi="Times New Roman" w:cs="Times New Roman"/>
                <w:b/>
                <w:bCs/>
                <w:color w:val="0000FF"/>
                <w:sz w:val="21"/>
                <w:szCs w:val="21"/>
                <w:lang w:val="en-US" w:eastAsia="zh-CN"/>
              </w:rPr>
              <w:t xml:space="preserve">     </w:t>
            </w:r>
            <w:r>
              <w:rPr>
                <w:rFonts w:hint="default" w:ascii="Times New Roman" w:hAnsi="Times New Roman" w:cs="Times New Roman"/>
                <w:b/>
                <w:bCs/>
                <w:color w:val="0000FF"/>
                <w:sz w:val="21"/>
                <w:szCs w:val="21"/>
                <w:lang w:val="en-US" w:eastAsia="zh-CN"/>
              </w:rPr>
              <w:t xml:space="preserve">       </w:t>
            </w:r>
            <w:r>
              <w:rPr>
                <w:rFonts w:hint="default" w:ascii="Times New Roman" w:hAnsi="Times New Roman" w:cs="Times New Roman"/>
                <w:b/>
                <w:bCs/>
                <w:color w:val="auto"/>
                <w:sz w:val="21"/>
                <w:szCs w:val="21"/>
                <w:lang w:val="en-US" w:eastAsia="zh-CN"/>
              </w:rPr>
              <w:t>单位：</w:t>
            </w:r>
            <w:r>
              <w:rPr>
                <w:rFonts w:hint="eastAsia" w:ascii="Times New Roman" w:hAnsi="Times New Roman" w:cs="Times New Roman"/>
                <w:b/>
                <w:bCs/>
                <w:color w:val="auto"/>
                <w:sz w:val="21"/>
                <w:szCs w:val="21"/>
                <w:lang w:val="en-US" w:eastAsia="zh-CN"/>
              </w:rPr>
              <w:t>mg/L</w:t>
            </w:r>
          </w:p>
          <w:p w14:paraId="2B5AA0E2">
            <w:pPr>
              <w:spacing w:line="240" w:lineRule="auto"/>
              <w:jc w:val="center"/>
              <w:rPr>
                <w:rFonts w:hint="eastAsia" w:cs="Times New Roman"/>
                <w:b/>
                <w:bCs/>
                <w:color w:val="auto"/>
                <w:sz w:val="24"/>
                <w:szCs w:val="24"/>
                <w:lang w:val="en-US" w:eastAsia="zh-CN"/>
              </w:rPr>
            </w:pPr>
          </w:p>
          <w:tbl>
            <w:tblPr>
              <w:tblStyle w:val="34"/>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1716"/>
              <w:gridCol w:w="2255"/>
              <w:gridCol w:w="1887"/>
              <w:gridCol w:w="1906"/>
            </w:tblGrid>
            <w:tr w14:paraId="6366B8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307" w:type="dxa"/>
                  <w:vMerge w:val="restart"/>
                  <w:tcBorders>
                    <w:tl2br w:val="nil"/>
                    <w:tr2bl w:val="nil"/>
                  </w:tcBorders>
                  <w:noWrap w:val="0"/>
                  <w:vAlign w:val="center"/>
                </w:tcPr>
                <w:p w14:paraId="02E39356">
                  <w:pPr>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sz w:val="21"/>
                      <w:szCs w:val="21"/>
                      <w:vertAlign w:val="baseline"/>
                      <w:lang w:eastAsia="zh-CN"/>
                    </w:rPr>
                  </w:pPr>
                  <w:r>
                    <w:rPr>
                      <w:rFonts w:hint="eastAsia" w:ascii="Times New Roman" w:hAnsi="Times New Roman" w:eastAsia="宋体" w:cs="Times New Roman"/>
                      <w:color w:val="000000"/>
                      <w:sz w:val="21"/>
                      <w:szCs w:val="21"/>
                      <w:lang w:eastAsia="zh-CN"/>
                    </w:rPr>
                    <w:t>采样</w:t>
                  </w:r>
                  <w:r>
                    <w:rPr>
                      <w:rFonts w:hint="default" w:ascii="Times New Roman" w:hAnsi="Times New Roman" w:eastAsia="宋体" w:cs="Times New Roman"/>
                      <w:color w:val="000000"/>
                      <w:sz w:val="21"/>
                      <w:szCs w:val="21"/>
                    </w:rPr>
                    <w:t>日期</w:t>
                  </w:r>
                </w:p>
              </w:tc>
              <w:tc>
                <w:tcPr>
                  <w:tcW w:w="1716" w:type="dxa"/>
                  <w:vMerge w:val="restart"/>
                  <w:tcBorders>
                    <w:tl2br w:val="nil"/>
                    <w:tr2bl w:val="nil"/>
                  </w:tcBorders>
                  <w:noWrap w:val="0"/>
                  <w:vAlign w:val="center"/>
                </w:tcPr>
                <w:p w14:paraId="51659AE2">
                  <w:pPr>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sz w:val="21"/>
                      <w:szCs w:val="21"/>
                      <w:vertAlign w:val="baseline"/>
                      <w:lang w:eastAsia="zh-CN"/>
                    </w:rPr>
                  </w:pPr>
                  <w:r>
                    <w:rPr>
                      <w:rFonts w:hint="default" w:ascii="Times New Roman" w:hAnsi="Times New Roman" w:eastAsia="宋体" w:cs="Times New Roman"/>
                      <w:sz w:val="21"/>
                      <w:szCs w:val="21"/>
                      <w:lang w:eastAsia="zh-CN"/>
                    </w:rPr>
                    <w:t>检</w:t>
                  </w:r>
                  <w:r>
                    <w:rPr>
                      <w:rFonts w:hint="default" w:ascii="Times New Roman" w:hAnsi="Times New Roman" w:eastAsia="宋体" w:cs="Times New Roman"/>
                      <w:sz w:val="21"/>
                      <w:szCs w:val="21"/>
                    </w:rPr>
                    <w:t>测项目</w:t>
                  </w:r>
                </w:p>
              </w:tc>
              <w:tc>
                <w:tcPr>
                  <w:tcW w:w="2255" w:type="dxa"/>
                  <w:vMerge w:val="restart"/>
                  <w:tcBorders>
                    <w:tl2br w:val="nil"/>
                    <w:tr2bl w:val="nil"/>
                  </w:tcBorders>
                  <w:noWrap w:val="0"/>
                  <w:vAlign w:val="center"/>
                </w:tcPr>
                <w:p w14:paraId="626EB9AE">
                  <w:pPr>
                    <w:keepNext w:val="0"/>
                    <w:keepLines w:val="0"/>
                    <w:pageBreakBefore w:val="0"/>
                    <w:widowControl w:val="0"/>
                    <w:kinsoku/>
                    <w:wordWrap/>
                    <w:overflowPunct/>
                    <w:topLinePunct w:val="0"/>
                    <w:autoSpaceDE/>
                    <w:autoSpaceDN/>
                    <w:bidi w:val="0"/>
                    <w:snapToGrid w:val="0"/>
                    <w:spacing w:line="192" w:lineRule="auto"/>
                    <w:jc w:val="center"/>
                    <w:textAlignment w:val="auto"/>
                    <w:outlineLvl w:val="9"/>
                    <w:rPr>
                      <w:rFonts w:hint="default" w:ascii="Times New Roman" w:hAnsi="Times New Roman" w:cs="Times New Roman"/>
                      <w:b/>
                      <w:sz w:val="21"/>
                      <w:szCs w:val="21"/>
                      <w:vertAlign w:val="baseline"/>
                      <w:lang w:eastAsia="zh-CN"/>
                    </w:rPr>
                  </w:pPr>
                  <w:r>
                    <w:rPr>
                      <w:rFonts w:hint="default" w:ascii="Times New Roman" w:hAnsi="Times New Roman" w:eastAsia="宋体" w:cs="Times New Roman"/>
                      <w:sz w:val="21"/>
                      <w:szCs w:val="21"/>
                      <w:lang w:val="en-US" w:eastAsia="zh-CN"/>
                    </w:rPr>
                    <w:t>流转编号</w:t>
                  </w:r>
                </w:p>
              </w:tc>
              <w:tc>
                <w:tcPr>
                  <w:tcW w:w="3793" w:type="dxa"/>
                  <w:gridSpan w:val="2"/>
                  <w:tcBorders>
                    <w:tl2br w:val="nil"/>
                    <w:tr2bl w:val="nil"/>
                  </w:tcBorders>
                  <w:noWrap w:val="0"/>
                  <w:vAlign w:val="center"/>
                </w:tcPr>
                <w:p w14:paraId="0631A759">
                  <w:pPr>
                    <w:keepNext w:val="0"/>
                    <w:keepLines w:val="0"/>
                    <w:pageBreakBefore w:val="0"/>
                    <w:widowControl w:val="0"/>
                    <w:kinsoku/>
                    <w:wordWrap/>
                    <w:overflowPunct/>
                    <w:topLinePunct w:val="0"/>
                    <w:autoSpaceDE/>
                    <w:autoSpaceDN/>
                    <w:bidi w:val="0"/>
                    <w:snapToGrid w:val="0"/>
                    <w:spacing w:line="192" w:lineRule="auto"/>
                    <w:jc w:val="center"/>
                    <w:textAlignment w:val="auto"/>
                    <w:outlineLvl w:val="9"/>
                    <w:rPr>
                      <w:rFonts w:hint="default" w:ascii="Times New Roman" w:hAnsi="Times New Roman" w:cs="Times New Roman"/>
                      <w:b/>
                      <w:sz w:val="21"/>
                      <w:szCs w:val="21"/>
                      <w:vertAlign w:val="baseline"/>
                      <w:lang w:eastAsia="zh-CN"/>
                    </w:rPr>
                  </w:pPr>
                  <w:r>
                    <w:rPr>
                      <w:rFonts w:hint="default" w:ascii="Times New Roman" w:hAnsi="Times New Roman" w:eastAsia="宋体" w:cs="Times New Roman"/>
                      <w:color w:val="auto"/>
                      <w:sz w:val="21"/>
                      <w:szCs w:val="21"/>
                      <w:lang w:val="en-US" w:eastAsia="zh-CN"/>
                    </w:rPr>
                    <w:t>处理设施废水总排口</w:t>
                  </w:r>
                </w:p>
              </w:tc>
            </w:tr>
            <w:tr w14:paraId="41D96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307" w:type="dxa"/>
                  <w:vMerge w:val="continue"/>
                  <w:tcBorders>
                    <w:tl2br w:val="nil"/>
                    <w:tr2bl w:val="nil"/>
                  </w:tcBorders>
                  <w:noWrap w:val="0"/>
                  <w:vAlign w:val="center"/>
                </w:tcPr>
                <w:p w14:paraId="6F123BDA">
                  <w:pPr>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eastAsia="宋体" w:cs="Times New Roman"/>
                      <w:sz w:val="21"/>
                      <w:szCs w:val="21"/>
                      <w:lang w:eastAsia="zh-CN"/>
                    </w:rPr>
                  </w:pPr>
                </w:p>
              </w:tc>
              <w:tc>
                <w:tcPr>
                  <w:tcW w:w="1716" w:type="dxa"/>
                  <w:vMerge w:val="continue"/>
                  <w:tcBorders>
                    <w:tl2br w:val="nil"/>
                    <w:tr2bl w:val="nil"/>
                  </w:tcBorders>
                  <w:noWrap w:val="0"/>
                  <w:vAlign w:val="center"/>
                </w:tcPr>
                <w:p w14:paraId="4EE045EA">
                  <w:pPr>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eastAsia="宋体" w:cs="Times New Roman"/>
                      <w:sz w:val="21"/>
                      <w:szCs w:val="21"/>
                      <w:lang w:eastAsia="zh-CN"/>
                    </w:rPr>
                  </w:pPr>
                </w:p>
              </w:tc>
              <w:tc>
                <w:tcPr>
                  <w:tcW w:w="2255" w:type="dxa"/>
                  <w:vMerge w:val="continue"/>
                  <w:tcBorders>
                    <w:tl2br w:val="nil"/>
                    <w:tr2bl w:val="nil"/>
                  </w:tcBorders>
                  <w:noWrap w:val="0"/>
                  <w:vAlign w:val="center"/>
                </w:tcPr>
                <w:p w14:paraId="3824AD10">
                  <w:pPr>
                    <w:keepNext w:val="0"/>
                    <w:keepLines w:val="0"/>
                    <w:pageBreakBefore w:val="0"/>
                    <w:widowControl w:val="0"/>
                    <w:kinsoku/>
                    <w:wordWrap/>
                    <w:overflowPunct/>
                    <w:topLinePunct w:val="0"/>
                    <w:autoSpaceDE/>
                    <w:autoSpaceDN/>
                    <w:bidi w:val="0"/>
                    <w:snapToGrid w:val="0"/>
                    <w:spacing w:line="192" w:lineRule="auto"/>
                    <w:jc w:val="center"/>
                    <w:textAlignment w:val="auto"/>
                    <w:outlineLvl w:val="9"/>
                    <w:rPr>
                      <w:rFonts w:hint="default" w:ascii="Times New Roman" w:hAnsi="Times New Roman" w:eastAsia="宋体" w:cs="Times New Roman"/>
                      <w:sz w:val="21"/>
                      <w:szCs w:val="21"/>
                      <w:lang w:val="en-US" w:eastAsia="zh-CN"/>
                    </w:rPr>
                  </w:pPr>
                </w:p>
              </w:tc>
              <w:tc>
                <w:tcPr>
                  <w:tcW w:w="1887" w:type="dxa"/>
                  <w:tcBorders>
                    <w:tl2br w:val="nil"/>
                    <w:tr2bl w:val="nil"/>
                  </w:tcBorders>
                  <w:noWrap w:val="0"/>
                  <w:vAlign w:val="center"/>
                </w:tcPr>
                <w:p w14:paraId="7548BE6B">
                  <w:pPr>
                    <w:keepNext w:val="0"/>
                    <w:keepLines w:val="0"/>
                    <w:pageBreakBefore w:val="0"/>
                    <w:widowControl w:val="0"/>
                    <w:kinsoku/>
                    <w:wordWrap/>
                    <w:overflowPunct/>
                    <w:topLinePunct w:val="0"/>
                    <w:autoSpaceDE/>
                    <w:autoSpaceDN/>
                    <w:bidi w:val="0"/>
                    <w:snapToGrid w:val="0"/>
                    <w:spacing w:line="192"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检测结果</w:t>
                  </w:r>
                </w:p>
              </w:tc>
              <w:tc>
                <w:tcPr>
                  <w:tcW w:w="1906" w:type="dxa"/>
                  <w:tcBorders>
                    <w:tl2br w:val="nil"/>
                    <w:tr2bl w:val="nil"/>
                  </w:tcBorders>
                  <w:noWrap w:val="0"/>
                  <w:vAlign w:val="center"/>
                </w:tcPr>
                <w:p w14:paraId="7986C174">
                  <w:pPr>
                    <w:keepNext w:val="0"/>
                    <w:keepLines w:val="0"/>
                    <w:pageBreakBefore w:val="0"/>
                    <w:widowControl w:val="0"/>
                    <w:kinsoku/>
                    <w:wordWrap/>
                    <w:overflowPunct/>
                    <w:topLinePunct w:val="0"/>
                    <w:autoSpaceDE/>
                    <w:autoSpaceDN/>
                    <w:bidi w:val="0"/>
                    <w:snapToGrid w:val="0"/>
                    <w:spacing w:line="192" w:lineRule="auto"/>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日均值</w:t>
                  </w:r>
                </w:p>
              </w:tc>
            </w:tr>
            <w:tr w14:paraId="277B3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restart"/>
                  <w:tcBorders>
                    <w:tl2br w:val="nil"/>
                    <w:tr2bl w:val="nil"/>
                  </w:tcBorders>
                  <w:noWrap w:val="0"/>
                  <w:vAlign w:val="center"/>
                </w:tcPr>
                <w:p w14:paraId="316C37D1">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125B03E2">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54600806">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22382B91">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61F33BA6">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7E8CC417">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4D6C2FE4">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588796F8">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26538F35">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36C9C870">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66DFA25A">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7F79BD32">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6626A6C3">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6A2FF89E">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p>
                <w:p w14:paraId="1370D70A">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p w14:paraId="58B891FE">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月</w:t>
                  </w:r>
                </w:p>
                <w:p w14:paraId="10F9C430">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p w14:paraId="11FB8F2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Cs/>
                      <w:sz w:val="21"/>
                      <w:szCs w:val="21"/>
                      <w:lang w:val="en-US" w:eastAsia="zh-CN"/>
                    </w:rPr>
                  </w:pPr>
                  <w:r>
                    <w:rPr>
                      <w:rFonts w:hint="eastAsia" w:ascii="Times New Roman" w:hAnsi="Times New Roman" w:eastAsia="宋体" w:cs="Times New Roman"/>
                      <w:color w:val="auto"/>
                      <w:sz w:val="21"/>
                      <w:szCs w:val="21"/>
                      <w:lang w:val="en-US" w:eastAsia="zh-CN"/>
                    </w:rPr>
                    <w:t>日</w:t>
                  </w:r>
                </w:p>
              </w:tc>
              <w:tc>
                <w:tcPr>
                  <w:tcW w:w="1716" w:type="dxa"/>
                  <w:vMerge w:val="restart"/>
                  <w:tcBorders>
                    <w:tl2br w:val="nil"/>
                    <w:tr2bl w:val="nil"/>
                  </w:tcBorders>
                  <w:noWrap w:val="0"/>
                  <w:vAlign w:val="center"/>
                </w:tcPr>
                <w:p w14:paraId="585E66EF">
                  <w:pPr>
                    <w:pStyle w:val="17"/>
                    <w:keepNext w:val="0"/>
                    <w:keepLines w:val="0"/>
                    <w:pageBreakBefore w:val="0"/>
                    <w:kinsoku/>
                    <w:wordWrap/>
                    <w:overflowPunct/>
                    <w:topLinePunct w:val="0"/>
                    <w:autoSpaceDE/>
                    <w:autoSpaceDN/>
                    <w:bidi w:val="0"/>
                    <w:adjustRightInd w:val="0"/>
                    <w:snapToGrid w:val="0"/>
                    <w:spacing w:line="192" w:lineRule="auto"/>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pH</w:t>
                  </w:r>
                </w:p>
                <w:p w14:paraId="7549EFCE">
                  <w:pPr>
                    <w:pStyle w:val="17"/>
                    <w:keepNext w:val="0"/>
                    <w:keepLines w:val="0"/>
                    <w:pageBreakBefore w:val="0"/>
                    <w:kinsoku/>
                    <w:wordWrap/>
                    <w:overflowPunct/>
                    <w:topLinePunct w:val="0"/>
                    <w:autoSpaceDE/>
                    <w:autoSpaceDN/>
                    <w:bidi w:val="0"/>
                    <w:adjustRightInd w:val="0"/>
                    <w:snapToGrid w:val="0"/>
                    <w:spacing w:line="192" w:lineRule="auto"/>
                    <w:jc w:val="center"/>
                    <w:rPr>
                      <w:rFonts w:hint="default" w:ascii="Times New Roman" w:hAnsi="Times New Roman" w:cs="Times New Roman"/>
                      <w:b w:val="0"/>
                      <w:bCs w:val="0"/>
                      <w:sz w:val="21"/>
                      <w:szCs w:val="21"/>
                      <w:vertAlign w:val="baseline"/>
                      <w:lang w:eastAsia="zh-CN"/>
                    </w:rPr>
                  </w:pPr>
                  <w:r>
                    <w:rPr>
                      <w:rFonts w:hint="eastAsia" w:ascii="Times New Roman" w:hAnsi="Times New Roman" w:cs="Times New Roman"/>
                      <w:color w:val="auto"/>
                      <w:sz w:val="21"/>
                      <w:szCs w:val="21"/>
                      <w:lang w:val="en-US" w:eastAsia="zh-CN"/>
                    </w:rPr>
                    <w:t>（无量纲）</w:t>
                  </w:r>
                </w:p>
              </w:tc>
              <w:tc>
                <w:tcPr>
                  <w:tcW w:w="2255" w:type="dxa"/>
                  <w:tcBorders>
                    <w:tl2br w:val="nil"/>
                    <w:tr2bl w:val="nil"/>
                  </w:tcBorders>
                  <w:noWrap w:val="0"/>
                  <w:vAlign w:val="center"/>
                </w:tcPr>
                <w:p w14:paraId="743AE688">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260601A1-1</w:t>
                  </w:r>
                </w:p>
              </w:tc>
              <w:tc>
                <w:tcPr>
                  <w:tcW w:w="1887" w:type="dxa"/>
                  <w:tcBorders>
                    <w:tl2br w:val="nil"/>
                    <w:tr2bl w:val="nil"/>
                  </w:tcBorders>
                  <w:noWrap w:val="0"/>
                  <w:vAlign w:val="center"/>
                </w:tcPr>
                <w:p w14:paraId="151A5C8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7.1</w:t>
                  </w:r>
                </w:p>
              </w:tc>
              <w:tc>
                <w:tcPr>
                  <w:tcW w:w="1906" w:type="dxa"/>
                  <w:vMerge w:val="restart"/>
                  <w:tcBorders>
                    <w:tl2br w:val="nil"/>
                    <w:tr2bl w:val="nil"/>
                  </w:tcBorders>
                  <w:noWrap w:val="0"/>
                  <w:vAlign w:val="center"/>
                </w:tcPr>
                <w:p w14:paraId="1570141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7.0-7.2</w:t>
                  </w:r>
                </w:p>
              </w:tc>
            </w:tr>
            <w:tr w14:paraId="20D2AF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272154C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cs="Times New Roman"/>
                      <w:bCs/>
                      <w:sz w:val="21"/>
                      <w:szCs w:val="21"/>
                      <w:lang w:val="en-US" w:eastAsia="zh-CN"/>
                    </w:rPr>
                  </w:pPr>
                </w:p>
              </w:tc>
              <w:tc>
                <w:tcPr>
                  <w:tcW w:w="1716" w:type="dxa"/>
                  <w:vMerge w:val="continue"/>
                  <w:tcBorders>
                    <w:tl2br w:val="nil"/>
                    <w:tr2bl w:val="nil"/>
                  </w:tcBorders>
                  <w:noWrap w:val="0"/>
                  <w:vAlign w:val="center"/>
                </w:tcPr>
                <w:p w14:paraId="4E4F62E7">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2C65CFDA">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260601A1-2</w:t>
                  </w:r>
                </w:p>
              </w:tc>
              <w:tc>
                <w:tcPr>
                  <w:tcW w:w="1887" w:type="dxa"/>
                  <w:tcBorders>
                    <w:tl2br w:val="nil"/>
                    <w:tr2bl w:val="nil"/>
                  </w:tcBorders>
                  <w:noWrap w:val="0"/>
                  <w:vAlign w:val="center"/>
                </w:tcPr>
                <w:p w14:paraId="42F3076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7.2</w:t>
                  </w:r>
                </w:p>
              </w:tc>
              <w:tc>
                <w:tcPr>
                  <w:tcW w:w="1906" w:type="dxa"/>
                  <w:vMerge w:val="continue"/>
                  <w:tcBorders>
                    <w:tl2br w:val="nil"/>
                    <w:tr2bl w:val="nil"/>
                  </w:tcBorders>
                  <w:noWrap w:val="0"/>
                  <w:vAlign w:val="center"/>
                </w:tcPr>
                <w:p w14:paraId="4D6775D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p>
              </w:tc>
            </w:tr>
            <w:tr w14:paraId="48EAE4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3884102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Cs/>
                      <w:sz w:val="21"/>
                      <w:szCs w:val="21"/>
                      <w:lang w:val="en-US" w:eastAsia="zh-CN"/>
                    </w:rPr>
                  </w:pPr>
                </w:p>
              </w:tc>
              <w:tc>
                <w:tcPr>
                  <w:tcW w:w="1716" w:type="dxa"/>
                  <w:vMerge w:val="continue"/>
                  <w:tcBorders>
                    <w:tl2br w:val="nil"/>
                    <w:tr2bl w:val="nil"/>
                  </w:tcBorders>
                  <w:noWrap w:val="0"/>
                  <w:vAlign w:val="center"/>
                </w:tcPr>
                <w:p w14:paraId="2C9BF8C8">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57C399D7">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260601A1-3</w:t>
                  </w:r>
                </w:p>
              </w:tc>
              <w:tc>
                <w:tcPr>
                  <w:tcW w:w="1887" w:type="dxa"/>
                  <w:tcBorders>
                    <w:tl2br w:val="nil"/>
                    <w:tr2bl w:val="nil"/>
                  </w:tcBorders>
                  <w:noWrap w:val="0"/>
                  <w:vAlign w:val="center"/>
                </w:tcPr>
                <w:p w14:paraId="3A6B888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7.2</w:t>
                  </w:r>
                </w:p>
              </w:tc>
              <w:tc>
                <w:tcPr>
                  <w:tcW w:w="1906" w:type="dxa"/>
                  <w:vMerge w:val="continue"/>
                  <w:tcBorders>
                    <w:tl2br w:val="nil"/>
                    <w:tr2bl w:val="nil"/>
                  </w:tcBorders>
                  <w:noWrap w:val="0"/>
                  <w:vAlign w:val="center"/>
                </w:tcPr>
                <w:p w14:paraId="70D5E1A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57EB4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3188F97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Cs/>
                      <w:sz w:val="21"/>
                      <w:szCs w:val="21"/>
                      <w:lang w:val="en-US" w:eastAsia="zh-CN"/>
                    </w:rPr>
                  </w:pPr>
                </w:p>
              </w:tc>
              <w:tc>
                <w:tcPr>
                  <w:tcW w:w="1716" w:type="dxa"/>
                  <w:vMerge w:val="continue"/>
                  <w:tcBorders>
                    <w:tl2br w:val="nil"/>
                    <w:tr2bl w:val="nil"/>
                  </w:tcBorders>
                  <w:noWrap w:val="0"/>
                  <w:vAlign w:val="center"/>
                </w:tcPr>
                <w:p w14:paraId="633769EC">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6013E3A4">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260601A1-4</w:t>
                  </w:r>
                </w:p>
              </w:tc>
              <w:tc>
                <w:tcPr>
                  <w:tcW w:w="1887" w:type="dxa"/>
                  <w:tcBorders>
                    <w:tl2br w:val="nil"/>
                    <w:tr2bl w:val="nil"/>
                  </w:tcBorders>
                  <w:noWrap w:val="0"/>
                  <w:vAlign w:val="center"/>
                </w:tcPr>
                <w:p w14:paraId="6E7C4A9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7.0</w:t>
                  </w:r>
                </w:p>
              </w:tc>
              <w:tc>
                <w:tcPr>
                  <w:tcW w:w="1906" w:type="dxa"/>
                  <w:vMerge w:val="continue"/>
                  <w:tcBorders>
                    <w:tl2br w:val="nil"/>
                    <w:tr2bl w:val="nil"/>
                  </w:tcBorders>
                  <w:noWrap w:val="0"/>
                  <w:vAlign w:val="center"/>
                </w:tcPr>
                <w:p w14:paraId="1E92523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097C6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7F296E3E">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4F2D4B08">
                  <w:pPr>
                    <w:keepNext w:val="0"/>
                    <w:keepLines w:val="0"/>
                    <w:pageBreakBefore w:val="0"/>
                    <w:widowControl/>
                    <w:suppressLineNumbers w:val="0"/>
                    <w:kinsoku/>
                    <w:wordWrap/>
                    <w:overflowPunct/>
                    <w:topLinePunct w:val="0"/>
                    <w:autoSpaceDE/>
                    <w:autoSpaceDN/>
                    <w:bidi w:val="0"/>
                    <w:spacing w:line="192" w:lineRule="auto"/>
                    <w:jc w:val="center"/>
                    <w:textAlignment w:val="center"/>
                    <w:rPr>
                      <w:rFonts w:hint="default" w:ascii="Times New Roman" w:hAnsi="Times New Roman" w:cs="Times New Roman"/>
                      <w:b w:val="0"/>
                      <w:bCs w:val="0"/>
                      <w:sz w:val="21"/>
                      <w:szCs w:val="21"/>
                      <w:vertAlign w:val="baseline"/>
                      <w:lang w:eastAsia="zh-CN"/>
                    </w:rPr>
                  </w:pPr>
                  <w:r>
                    <w:rPr>
                      <w:rFonts w:hint="eastAsia" w:ascii="Times New Roman" w:hAnsi="Times New Roman" w:eastAsia="宋体" w:cs="Times New Roman"/>
                      <w:color w:val="auto"/>
                      <w:sz w:val="21"/>
                      <w:szCs w:val="21"/>
                      <w:lang w:val="en-US" w:eastAsia="zh-CN"/>
                    </w:rPr>
                    <w:t>化学需氧量</w:t>
                  </w:r>
                </w:p>
              </w:tc>
              <w:tc>
                <w:tcPr>
                  <w:tcW w:w="2255" w:type="dxa"/>
                  <w:tcBorders>
                    <w:tl2br w:val="nil"/>
                    <w:tr2bl w:val="nil"/>
                  </w:tcBorders>
                  <w:noWrap w:val="0"/>
                  <w:vAlign w:val="center"/>
                </w:tcPr>
                <w:p w14:paraId="7293890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260601A1-1</w:t>
                  </w:r>
                </w:p>
              </w:tc>
              <w:tc>
                <w:tcPr>
                  <w:tcW w:w="1887" w:type="dxa"/>
                  <w:tcBorders>
                    <w:tl2br w:val="nil"/>
                    <w:tr2bl w:val="nil"/>
                  </w:tcBorders>
                  <w:noWrap w:val="0"/>
                  <w:vAlign w:val="center"/>
                </w:tcPr>
                <w:p w14:paraId="5658484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8422</w:t>
                  </w:r>
                </w:p>
              </w:tc>
              <w:tc>
                <w:tcPr>
                  <w:tcW w:w="1906" w:type="dxa"/>
                  <w:vMerge w:val="restart"/>
                  <w:tcBorders>
                    <w:tl2br w:val="nil"/>
                    <w:tr2bl w:val="nil"/>
                  </w:tcBorders>
                  <w:noWrap w:val="0"/>
                  <w:vAlign w:val="center"/>
                </w:tcPr>
                <w:p w14:paraId="42F5D0C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8426</w:t>
                  </w:r>
                </w:p>
              </w:tc>
            </w:tr>
            <w:tr w14:paraId="3879FA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0A3FB3E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54676C6B">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106D9452">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260601A1-2</w:t>
                  </w:r>
                </w:p>
              </w:tc>
              <w:tc>
                <w:tcPr>
                  <w:tcW w:w="1887" w:type="dxa"/>
                  <w:tcBorders>
                    <w:tl2br w:val="nil"/>
                    <w:tr2bl w:val="nil"/>
                  </w:tcBorders>
                  <w:noWrap w:val="0"/>
                  <w:vAlign w:val="center"/>
                </w:tcPr>
                <w:p w14:paraId="4A9804B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8712</w:t>
                  </w:r>
                </w:p>
              </w:tc>
              <w:tc>
                <w:tcPr>
                  <w:tcW w:w="1906" w:type="dxa"/>
                  <w:vMerge w:val="continue"/>
                  <w:tcBorders>
                    <w:tl2br w:val="nil"/>
                    <w:tr2bl w:val="nil"/>
                  </w:tcBorders>
                  <w:noWrap w:val="0"/>
                  <w:vAlign w:val="center"/>
                </w:tcPr>
                <w:p w14:paraId="3110552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cs="Times New Roman"/>
                      <w:b w:val="0"/>
                      <w:bCs/>
                      <w:sz w:val="21"/>
                      <w:szCs w:val="21"/>
                      <w:vertAlign w:val="baseline"/>
                      <w:lang w:val="en-US" w:eastAsia="zh-CN"/>
                    </w:rPr>
                  </w:pPr>
                </w:p>
              </w:tc>
            </w:tr>
            <w:tr w14:paraId="7C1D0A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0F5A226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77A6EADD">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6F6A3B59">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260601A1-3</w:t>
                  </w:r>
                </w:p>
              </w:tc>
              <w:tc>
                <w:tcPr>
                  <w:tcW w:w="1887" w:type="dxa"/>
                  <w:tcBorders>
                    <w:tl2br w:val="nil"/>
                    <w:tr2bl w:val="nil"/>
                  </w:tcBorders>
                  <w:noWrap w:val="0"/>
                  <w:vAlign w:val="center"/>
                </w:tcPr>
                <w:p w14:paraId="247A385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8092</w:t>
                  </w:r>
                </w:p>
              </w:tc>
              <w:tc>
                <w:tcPr>
                  <w:tcW w:w="1906" w:type="dxa"/>
                  <w:vMerge w:val="continue"/>
                  <w:tcBorders>
                    <w:tl2br w:val="nil"/>
                    <w:tr2bl w:val="nil"/>
                  </w:tcBorders>
                  <w:noWrap w:val="0"/>
                  <w:vAlign w:val="center"/>
                </w:tcPr>
                <w:p w14:paraId="3EFF445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710A3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23B9950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1DC415E4">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77ECF12A">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260601A1-4</w:t>
                  </w:r>
                </w:p>
              </w:tc>
              <w:tc>
                <w:tcPr>
                  <w:tcW w:w="1887" w:type="dxa"/>
                  <w:tcBorders>
                    <w:tl2br w:val="nil"/>
                    <w:tr2bl w:val="nil"/>
                  </w:tcBorders>
                  <w:noWrap w:val="0"/>
                  <w:vAlign w:val="center"/>
                </w:tcPr>
                <w:p w14:paraId="4C52DD6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8480</w:t>
                  </w:r>
                </w:p>
              </w:tc>
              <w:tc>
                <w:tcPr>
                  <w:tcW w:w="1906" w:type="dxa"/>
                  <w:vMerge w:val="continue"/>
                  <w:tcBorders>
                    <w:tl2br w:val="nil"/>
                    <w:tr2bl w:val="nil"/>
                  </w:tcBorders>
                  <w:noWrap w:val="0"/>
                  <w:vAlign w:val="center"/>
                </w:tcPr>
                <w:p w14:paraId="06F7172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5425F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63C1937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27AEB941">
                  <w:pPr>
                    <w:keepNext w:val="0"/>
                    <w:keepLines w:val="0"/>
                    <w:pageBreakBefore w:val="0"/>
                    <w:widowControl/>
                    <w:suppressLineNumbers w:val="0"/>
                    <w:kinsoku/>
                    <w:wordWrap/>
                    <w:overflowPunct/>
                    <w:topLinePunct w:val="0"/>
                    <w:autoSpaceDE/>
                    <w:autoSpaceDN/>
                    <w:bidi w:val="0"/>
                    <w:spacing w:line="192" w:lineRule="auto"/>
                    <w:jc w:val="center"/>
                    <w:textAlignment w:val="center"/>
                    <w:rPr>
                      <w:rFonts w:hint="default" w:ascii="Times New Roman" w:hAnsi="Times New Roman" w:cs="Times New Roman"/>
                      <w:b w:val="0"/>
                      <w:bCs w:val="0"/>
                      <w:sz w:val="21"/>
                      <w:szCs w:val="21"/>
                      <w:vertAlign w:val="baseline"/>
                      <w:lang w:eastAsia="zh-CN"/>
                    </w:rPr>
                  </w:pPr>
                  <w:r>
                    <w:rPr>
                      <w:rFonts w:hint="eastAsia" w:ascii="Times New Roman" w:hAnsi="Times New Roman" w:cs="Times New Roman"/>
                      <w:bCs/>
                      <w:color w:val="auto"/>
                      <w:kern w:val="0"/>
                      <w:sz w:val="21"/>
                      <w:szCs w:val="21"/>
                      <w:lang w:val="en-US" w:eastAsia="zh-CN" w:bidi="ar-SA"/>
                    </w:rPr>
                    <w:t>五日生化需氧量</w:t>
                  </w:r>
                </w:p>
              </w:tc>
              <w:tc>
                <w:tcPr>
                  <w:tcW w:w="2255" w:type="dxa"/>
                  <w:tcBorders>
                    <w:tl2br w:val="nil"/>
                    <w:tr2bl w:val="nil"/>
                  </w:tcBorders>
                  <w:noWrap w:val="0"/>
                  <w:vAlign w:val="center"/>
                </w:tcPr>
                <w:p w14:paraId="671B566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260601A1-1</w:t>
                  </w:r>
                </w:p>
              </w:tc>
              <w:tc>
                <w:tcPr>
                  <w:tcW w:w="1887" w:type="dxa"/>
                  <w:tcBorders>
                    <w:tl2br w:val="nil"/>
                    <w:tr2bl w:val="nil"/>
                  </w:tcBorders>
                  <w:noWrap w:val="0"/>
                  <w:vAlign w:val="center"/>
                </w:tcPr>
                <w:p w14:paraId="6F39507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3771</w:t>
                  </w:r>
                </w:p>
              </w:tc>
              <w:tc>
                <w:tcPr>
                  <w:tcW w:w="1906" w:type="dxa"/>
                  <w:vMerge w:val="restart"/>
                  <w:tcBorders>
                    <w:tl2br w:val="nil"/>
                    <w:tr2bl w:val="nil"/>
                  </w:tcBorders>
                  <w:noWrap w:val="0"/>
                  <w:vAlign w:val="center"/>
                </w:tcPr>
                <w:p w14:paraId="45838D4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cs="Times New Roman"/>
                      <w:b w:val="0"/>
                      <w:bCs/>
                      <w:sz w:val="21"/>
                      <w:szCs w:val="21"/>
                      <w:vertAlign w:val="baseline"/>
                      <w:lang w:val="en-US" w:eastAsia="zh-CN"/>
                    </w:rPr>
                    <w:fldChar w:fldCharType="begin"/>
                  </w:r>
                  <w:r>
                    <w:rPr>
                      <w:rFonts w:hint="eastAsia" w:ascii="Times New Roman" w:hAnsi="Times New Roman" w:cs="Times New Roman"/>
                      <w:b w:val="0"/>
                      <w:bCs/>
                      <w:sz w:val="21"/>
                      <w:szCs w:val="21"/>
                      <w:vertAlign w:val="baseline"/>
                      <w:lang w:val="en-US" w:eastAsia="zh-CN"/>
                    </w:rPr>
                    <w:instrText xml:space="preserve"> = average(D11:D14) \* MERGEFORMAT </w:instrText>
                  </w:r>
                  <w:r>
                    <w:rPr>
                      <w:rFonts w:hint="eastAsia" w:ascii="Times New Roman" w:hAnsi="Times New Roman" w:cs="Times New Roman"/>
                      <w:b w:val="0"/>
                      <w:bCs/>
                      <w:sz w:val="21"/>
                      <w:szCs w:val="21"/>
                      <w:vertAlign w:val="baseline"/>
                      <w:lang w:val="en-US" w:eastAsia="zh-CN"/>
                    </w:rPr>
                    <w:fldChar w:fldCharType="separate"/>
                  </w:r>
                  <w:r>
                    <w:rPr>
                      <w:rFonts w:hint="eastAsia" w:ascii="Times New Roman" w:hAnsi="Times New Roman" w:cs="Times New Roman"/>
                      <w:b w:val="0"/>
                      <w:bCs/>
                      <w:sz w:val="21"/>
                      <w:szCs w:val="21"/>
                      <w:vertAlign w:val="baseline"/>
                      <w:lang w:val="en-US" w:eastAsia="zh-CN"/>
                    </w:rPr>
                    <w:t>3780</w:t>
                  </w:r>
                  <w:r>
                    <w:rPr>
                      <w:rFonts w:hint="eastAsia" w:ascii="Times New Roman" w:hAnsi="Times New Roman" w:cs="Times New Roman"/>
                      <w:b w:val="0"/>
                      <w:bCs/>
                      <w:sz w:val="21"/>
                      <w:szCs w:val="21"/>
                      <w:vertAlign w:val="baseline"/>
                      <w:lang w:val="en-US" w:eastAsia="zh-CN"/>
                    </w:rPr>
                    <w:fldChar w:fldCharType="end"/>
                  </w:r>
                </w:p>
              </w:tc>
            </w:tr>
            <w:tr w14:paraId="58DC4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6C8C46F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022BCDCD">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5B04F337">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260601A1-2</w:t>
                  </w:r>
                </w:p>
              </w:tc>
              <w:tc>
                <w:tcPr>
                  <w:tcW w:w="1887" w:type="dxa"/>
                  <w:tcBorders>
                    <w:tl2br w:val="nil"/>
                    <w:tr2bl w:val="nil"/>
                  </w:tcBorders>
                  <w:noWrap w:val="0"/>
                  <w:vAlign w:val="center"/>
                </w:tcPr>
                <w:p w14:paraId="55522ED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3912</w:t>
                  </w:r>
                </w:p>
              </w:tc>
              <w:tc>
                <w:tcPr>
                  <w:tcW w:w="1906" w:type="dxa"/>
                  <w:vMerge w:val="continue"/>
                  <w:tcBorders>
                    <w:tl2br w:val="nil"/>
                    <w:tr2bl w:val="nil"/>
                  </w:tcBorders>
                  <w:noWrap w:val="0"/>
                  <w:vAlign w:val="center"/>
                </w:tcPr>
                <w:p w14:paraId="10C3B1A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cs="Times New Roman"/>
                      <w:b w:val="0"/>
                      <w:bCs/>
                      <w:sz w:val="21"/>
                      <w:szCs w:val="21"/>
                      <w:vertAlign w:val="baseline"/>
                      <w:lang w:val="en-US" w:eastAsia="zh-CN"/>
                    </w:rPr>
                  </w:pPr>
                </w:p>
              </w:tc>
            </w:tr>
            <w:tr w14:paraId="5B890C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4235333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5E7521F6">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7122F8E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260601A1-3</w:t>
                  </w:r>
                </w:p>
              </w:tc>
              <w:tc>
                <w:tcPr>
                  <w:tcW w:w="1887" w:type="dxa"/>
                  <w:tcBorders>
                    <w:tl2br w:val="nil"/>
                    <w:tr2bl w:val="nil"/>
                  </w:tcBorders>
                  <w:noWrap w:val="0"/>
                  <w:vAlign w:val="center"/>
                </w:tcPr>
                <w:p w14:paraId="787D303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3630</w:t>
                  </w:r>
                </w:p>
              </w:tc>
              <w:tc>
                <w:tcPr>
                  <w:tcW w:w="1906" w:type="dxa"/>
                  <w:vMerge w:val="continue"/>
                  <w:tcBorders>
                    <w:tl2br w:val="nil"/>
                    <w:tr2bl w:val="nil"/>
                  </w:tcBorders>
                  <w:noWrap w:val="0"/>
                  <w:vAlign w:val="center"/>
                </w:tcPr>
                <w:p w14:paraId="1E6A018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7D0F2A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35AB7E20">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65969C22">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z w:val="21"/>
                      <w:szCs w:val="21"/>
                    </w:rPr>
                  </w:pPr>
                </w:p>
              </w:tc>
              <w:tc>
                <w:tcPr>
                  <w:tcW w:w="2255" w:type="dxa"/>
                  <w:tcBorders>
                    <w:tl2br w:val="nil"/>
                    <w:tr2bl w:val="nil"/>
                  </w:tcBorders>
                  <w:noWrap w:val="0"/>
                  <w:vAlign w:val="center"/>
                </w:tcPr>
                <w:p w14:paraId="3FC2189D">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260601A1-4</w:t>
                  </w:r>
                </w:p>
              </w:tc>
              <w:tc>
                <w:tcPr>
                  <w:tcW w:w="1887" w:type="dxa"/>
                  <w:tcBorders>
                    <w:tl2br w:val="nil"/>
                    <w:tr2bl w:val="nil"/>
                  </w:tcBorders>
                  <w:noWrap w:val="0"/>
                  <w:vAlign w:val="center"/>
                </w:tcPr>
                <w:p w14:paraId="19114CD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3807</w:t>
                  </w:r>
                </w:p>
              </w:tc>
              <w:tc>
                <w:tcPr>
                  <w:tcW w:w="1906" w:type="dxa"/>
                  <w:vMerge w:val="continue"/>
                  <w:tcBorders>
                    <w:tl2br w:val="nil"/>
                    <w:tr2bl w:val="nil"/>
                  </w:tcBorders>
                  <w:noWrap w:val="0"/>
                  <w:vAlign w:val="center"/>
                </w:tcPr>
                <w:p w14:paraId="5383B41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3A8D0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5199918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0363F3B5">
                  <w:pPr>
                    <w:keepNext w:val="0"/>
                    <w:keepLines w:val="0"/>
                    <w:pageBreakBefore w:val="0"/>
                    <w:widowControl/>
                    <w:suppressLineNumbers w:val="0"/>
                    <w:kinsoku/>
                    <w:wordWrap/>
                    <w:overflowPunct/>
                    <w:topLinePunct w:val="0"/>
                    <w:autoSpaceDE/>
                    <w:autoSpaceDN/>
                    <w:bidi w:val="0"/>
                    <w:spacing w:line="192" w:lineRule="auto"/>
                    <w:jc w:val="center"/>
                    <w:textAlignment w:val="center"/>
                    <w:rPr>
                      <w:rFonts w:hint="default" w:ascii="Times New Roman" w:hAnsi="Times New Roman" w:cs="Times New Roman"/>
                      <w:b w:val="0"/>
                      <w:bCs w:val="0"/>
                      <w:sz w:val="21"/>
                      <w:szCs w:val="21"/>
                      <w:vertAlign w:val="baseline"/>
                      <w:lang w:eastAsia="zh-CN"/>
                    </w:rPr>
                  </w:pPr>
                  <w:r>
                    <w:rPr>
                      <w:rFonts w:hint="eastAsia" w:ascii="Times New Roman" w:hAnsi="Times New Roman" w:eastAsia="宋体" w:cs="Times New Roman"/>
                      <w:i w:val="0"/>
                      <w:color w:val="auto"/>
                      <w:kern w:val="0"/>
                      <w:sz w:val="21"/>
                      <w:szCs w:val="21"/>
                      <w:u w:val="none"/>
                      <w:lang w:val="en-US" w:eastAsia="zh-CN" w:bidi="ar"/>
                    </w:rPr>
                    <w:t>氨氮</w:t>
                  </w:r>
                </w:p>
              </w:tc>
              <w:tc>
                <w:tcPr>
                  <w:tcW w:w="2255" w:type="dxa"/>
                  <w:tcBorders>
                    <w:tl2br w:val="nil"/>
                    <w:tr2bl w:val="nil"/>
                  </w:tcBorders>
                  <w:noWrap w:val="0"/>
                  <w:vAlign w:val="center"/>
                </w:tcPr>
                <w:p w14:paraId="4740DB7E">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260601A1-1</w:t>
                  </w:r>
                </w:p>
              </w:tc>
              <w:tc>
                <w:tcPr>
                  <w:tcW w:w="1887" w:type="dxa"/>
                  <w:tcBorders>
                    <w:tl2br w:val="nil"/>
                    <w:tr2bl w:val="nil"/>
                  </w:tcBorders>
                  <w:noWrap w:val="0"/>
                  <w:vAlign w:val="center"/>
                </w:tcPr>
                <w:p w14:paraId="116C0CAE">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246</w:t>
                  </w:r>
                </w:p>
              </w:tc>
              <w:tc>
                <w:tcPr>
                  <w:tcW w:w="1906" w:type="dxa"/>
                  <w:vMerge w:val="restart"/>
                  <w:tcBorders>
                    <w:tl2br w:val="nil"/>
                    <w:tr2bl w:val="nil"/>
                  </w:tcBorders>
                  <w:noWrap w:val="0"/>
                  <w:vAlign w:val="center"/>
                </w:tcPr>
                <w:p w14:paraId="199DA83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251</w:t>
                  </w:r>
                </w:p>
              </w:tc>
            </w:tr>
            <w:tr w14:paraId="4BDAB2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55FF00E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36B81017">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790B350D">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260601A1-2</w:t>
                  </w:r>
                </w:p>
              </w:tc>
              <w:tc>
                <w:tcPr>
                  <w:tcW w:w="1887" w:type="dxa"/>
                  <w:tcBorders>
                    <w:tl2br w:val="nil"/>
                    <w:tr2bl w:val="nil"/>
                  </w:tcBorders>
                  <w:noWrap w:val="0"/>
                  <w:vAlign w:val="center"/>
                </w:tcPr>
                <w:p w14:paraId="20AC60E0">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261</w:t>
                  </w:r>
                </w:p>
              </w:tc>
              <w:tc>
                <w:tcPr>
                  <w:tcW w:w="1906" w:type="dxa"/>
                  <w:vMerge w:val="continue"/>
                  <w:tcBorders>
                    <w:tl2br w:val="nil"/>
                    <w:tr2bl w:val="nil"/>
                  </w:tcBorders>
                  <w:noWrap w:val="0"/>
                  <w:vAlign w:val="center"/>
                </w:tcPr>
                <w:p w14:paraId="5280DAC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cs="Times New Roman"/>
                      <w:b w:val="0"/>
                      <w:bCs/>
                      <w:sz w:val="21"/>
                      <w:szCs w:val="21"/>
                      <w:vertAlign w:val="baseline"/>
                      <w:lang w:val="en-US" w:eastAsia="zh-CN"/>
                    </w:rPr>
                  </w:pPr>
                </w:p>
              </w:tc>
            </w:tr>
            <w:tr w14:paraId="319EC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0A554C6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0C30A801">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07447420">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260601A1-3</w:t>
                  </w:r>
                </w:p>
              </w:tc>
              <w:tc>
                <w:tcPr>
                  <w:tcW w:w="1887" w:type="dxa"/>
                  <w:tcBorders>
                    <w:tl2br w:val="nil"/>
                    <w:tr2bl w:val="nil"/>
                  </w:tcBorders>
                  <w:noWrap w:val="0"/>
                  <w:vAlign w:val="center"/>
                </w:tcPr>
                <w:p w14:paraId="5015A5E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255</w:t>
                  </w:r>
                </w:p>
              </w:tc>
              <w:tc>
                <w:tcPr>
                  <w:tcW w:w="1906" w:type="dxa"/>
                  <w:vMerge w:val="continue"/>
                  <w:tcBorders>
                    <w:tl2br w:val="nil"/>
                    <w:tr2bl w:val="nil"/>
                  </w:tcBorders>
                  <w:noWrap w:val="0"/>
                  <w:vAlign w:val="center"/>
                </w:tcPr>
                <w:p w14:paraId="69A745F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24D77D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491061C5">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503BF067">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7BED2CEE">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color w:val="auto"/>
                      <w:kern w:val="2"/>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260601A1-4</w:t>
                  </w:r>
                </w:p>
              </w:tc>
              <w:tc>
                <w:tcPr>
                  <w:tcW w:w="1887" w:type="dxa"/>
                  <w:tcBorders>
                    <w:tl2br w:val="nil"/>
                    <w:tr2bl w:val="nil"/>
                  </w:tcBorders>
                  <w:noWrap w:val="0"/>
                  <w:vAlign w:val="center"/>
                </w:tcPr>
                <w:p w14:paraId="652DBE9E">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243</w:t>
                  </w:r>
                </w:p>
              </w:tc>
              <w:tc>
                <w:tcPr>
                  <w:tcW w:w="1906" w:type="dxa"/>
                  <w:vMerge w:val="continue"/>
                  <w:tcBorders>
                    <w:tl2br w:val="nil"/>
                    <w:tr2bl w:val="nil"/>
                  </w:tcBorders>
                  <w:noWrap w:val="0"/>
                  <w:vAlign w:val="center"/>
                </w:tcPr>
                <w:p w14:paraId="41BEE090">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532165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565805E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4CB69407">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r>
                    <w:rPr>
                      <w:rFonts w:hint="eastAsia" w:ascii="Times New Roman" w:hAnsi="Times New Roman" w:cs="Times New Roman"/>
                      <w:b w:val="0"/>
                      <w:bCs w:val="0"/>
                      <w:spacing w:val="-24"/>
                      <w:sz w:val="21"/>
                      <w:szCs w:val="21"/>
                      <w:lang w:val="en-US" w:eastAsia="zh-CN"/>
                    </w:rPr>
                    <w:t>总氮</w:t>
                  </w:r>
                </w:p>
              </w:tc>
              <w:tc>
                <w:tcPr>
                  <w:tcW w:w="2255" w:type="dxa"/>
                  <w:tcBorders>
                    <w:tl2br w:val="nil"/>
                    <w:tr2bl w:val="nil"/>
                  </w:tcBorders>
                  <w:noWrap w:val="0"/>
                  <w:vAlign w:val="center"/>
                </w:tcPr>
                <w:p w14:paraId="24324FFE">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260601A1-1</w:t>
                  </w:r>
                </w:p>
              </w:tc>
              <w:tc>
                <w:tcPr>
                  <w:tcW w:w="1887" w:type="dxa"/>
                  <w:tcBorders>
                    <w:tl2br w:val="nil"/>
                    <w:tr2bl w:val="nil"/>
                  </w:tcBorders>
                  <w:noWrap w:val="0"/>
                  <w:vAlign w:val="center"/>
                </w:tcPr>
                <w:p w14:paraId="30D9C8A7">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376</w:t>
                  </w:r>
                </w:p>
              </w:tc>
              <w:tc>
                <w:tcPr>
                  <w:tcW w:w="1906" w:type="dxa"/>
                  <w:vMerge w:val="restart"/>
                  <w:tcBorders>
                    <w:tl2br w:val="nil"/>
                    <w:tr2bl w:val="nil"/>
                  </w:tcBorders>
                  <w:noWrap w:val="0"/>
                  <w:vAlign w:val="center"/>
                </w:tcPr>
                <w:p w14:paraId="197FFFF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r>
                    <w:rPr>
                      <w:rFonts w:hint="eastAsia" w:ascii="Times New Roman" w:hAnsi="Times New Roman" w:cs="Times New Roman"/>
                      <w:b w:val="0"/>
                      <w:bCs/>
                      <w:sz w:val="21"/>
                      <w:szCs w:val="21"/>
                      <w:vertAlign w:val="baseline"/>
                      <w:lang w:val="en-US" w:eastAsia="zh-CN"/>
                    </w:rPr>
                    <w:fldChar w:fldCharType="begin"/>
                  </w:r>
                  <w:r>
                    <w:rPr>
                      <w:rFonts w:hint="eastAsia" w:ascii="Times New Roman" w:hAnsi="Times New Roman" w:cs="Times New Roman"/>
                      <w:b w:val="0"/>
                      <w:bCs/>
                      <w:sz w:val="21"/>
                      <w:szCs w:val="21"/>
                      <w:vertAlign w:val="baseline"/>
                      <w:lang w:val="en-US" w:eastAsia="zh-CN"/>
                    </w:rPr>
                    <w:instrText xml:space="preserve"> = average(D19:D22) \* MERGEFORMAT </w:instrText>
                  </w:r>
                  <w:r>
                    <w:rPr>
                      <w:rFonts w:hint="eastAsia" w:ascii="Times New Roman" w:hAnsi="Times New Roman" w:cs="Times New Roman"/>
                      <w:b w:val="0"/>
                      <w:bCs/>
                      <w:sz w:val="21"/>
                      <w:szCs w:val="21"/>
                      <w:vertAlign w:val="baseline"/>
                      <w:lang w:val="en-US" w:eastAsia="zh-CN"/>
                    </w:rPr>
                    <w:fldChar w:fldCharType="separate"/>
                  </w:r>
                  <w:r>
                    <w:rPr>
                      <w:rFonts w:hint="eastAsia" w:ascii="Times New Roman" w:hAnsi="Times New Roman" w:cs="Times New Roman"/>
                      <w:b w:val="0"/>
                      <w:bCs/>
                      <w:sz w:val="21"/>
                      <w:szCs w:val="21"/>
                      <w:vertAlign w:val="baseline"/>
                      <w:lang w:val="en-US" w:eastAsia="zh-CN"/>
                    </w:rPr>
                    <w:t>381</w:t>
                  </w:r>
                  <w:r>
                    <w:rPr>
                      <w:rFonts w:hint="eastAsia" w:ascii="Times New Roman" w:hAnsi="Times New Roman" w:cs="Times New Roman"/>
                      <w:b w:val="0"/>
                      <w:bCs/>
                      <w:sz w:val="21"/>
                      <w:szCs w:val="21"/>
                      <w:vertAlign w:val="baseline"/>
                      <w:lang w:val="en-US" w:eastAsia="zh-CN"/>
                    </w:rPr>
                    <w:fldChar w:fldCharType="end"/>
                  </w:r>
                </w:p>
              </w:tc>
            </w:tr>
            <w:tr w14:paraId="0941E5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1E0013C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0A1F7AA4">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0856D134">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260601A1-2</w:t>
                  </w:r>
                </w:p>
              </w:tc>
              <w:tc>
                <w:tcPr>
                  <w:tcW w:w="1887" w:type="dxa"/>
                  <w:tcBorders>
                    <w:tl2br w:val="nil"/>
                    <w:tr2bl w:val="nil"/>
                  </w:tcBorders>
                  <w:noWrap w:val="0"/>
                  <w:vAlign w:val="center"/>
                </w:tcPr>
                <w:p w14:paraId="2C7529AB">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399</w:t>
                  </w:r>
                </w:p>
              </w:tc>
              <w:tc>
                <w:tcPr>
                  <w:tcW w:w="1906" w:type="dxa"/>
                  <w:vMerge w:val="continue"/>
                  <w:tcBorders>
                    <w:tl2br w:val="nil"/>
                    <w:tr2bl w:val="nil"/>
                  </w:tcBorders>
                  <w:noWrap w:val="0"/>
                  <w:vAlign w:val="center"/>
                </w:tcPr>
                <w:p w14:paraId="2693E2C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6ECC4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68EA80A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5F14AACB">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769624A7">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260601A1-3</w:t>
                  </w:r>
                </w:p>
              </w:tc>
              <w:tc>
                <w:tcPr>
                  <w:tcW w:w="1887" w:type="dxa"/>
                  <w:tcBorders>
                    <w:tl2br w:val="nil"/>
                    <w:tr2bl w:val="nil"/>
                  </w:tcBorders>
                  <w:noWrap w:val="0"/>
                  <w:vAlign w:val="center"/>
                </w:tcPr>
                <w:p w14:paraId="1DFA8D12">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387</w:t>
                  </w:r>
                </w:p>
              </w:tc>
              <w:tc>
                <w:tcPr>
                  <w:tcW w:w="1906" w:type="dxa"/>
                  <w:vMerge w:val="continue"/>
                  <w:tcBorders>
                    <w:tl2br w:val="nil"/>
                    <w:tr2bl w:val="nil"/>
                  </w:tcBorders>
                  <w:noWrap w:val="0"/>
                  <w:vAlign w:val="center"/>
                </w:tcPr>
                <w:p w14:paraId="1AA9EC0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41BDB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07" w:type="dxa"/>
                  <w:vMerge w:val="continue"/>
                  <w:tcBorders>
                    <w:tl2br w:val="nil"/>
                    <w:tr2bl w:val="nil"/>
                  </w:tcBorders>
                  <w:noWrap w:val="0"/>
                  <w:vAlign w:val="center"/>
                </w:tcPr>
                <w:p w14:paraId="62871D4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2843AF1F">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2ECE69C4">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260601A1-4</w:t>
                  </w:r>
                </w:p>
              </w:tc>
              <w:tc>
                <w:tcPr>
                  <w:tcW w:w="1887" w:type="dxa"/>
                  <w:tcBorders>
                    <w:tl2br w:val="nil"/>
                    <w:tr2bl w:val="nil"/>
                  </w:tcBorders>
                  <w:noWrap w:val="0"/>
                  <w:vAlign w:val="center"/>
                </w:tcPr>
                <w:p w14:paraId="69EA699C">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eastAsia"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362</w:t>
                  </w:r>
                </w:p>
              </w:tc>
              <w:tc>
                <w:tcPr>
                  <w:tcW w:w="1906" w:type="dxa"/>
                  <w:vMerge w:val="continue"/>
                  <w:tcBorders>
                    <w:tl2br w:val="nil"/>
                    <w:tr2bl w:val="nil"/>
                  </w:tcBorders>
                  <w:noWrap w:val="0"/>
                  <w:vAlign w:val="center"/>
                </w:tcPr>
                <w:p w14:paraId="5B632E65">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616DF6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restart"/>
                  <w:tcBorders>
                    <w:tl2br w:val="nil"/>
                    <w:tr2bl w:val="nil"/>
                  </w:tcBorders>
                  <w:noWrap w:val="0"/>
                  <w:vAlign w:val="center"/>
                </w:tcPr>
                <w:p w14:paraId="734BC8C2">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p w14:paraId="0D3FAB9A">
                  <w:pPr>
                    <w:pStyle w:val="17"/>
                    <w:keepNext w:val="0"/>
                    <w:keepLines w:val="0"/>
                    <w:pageBreakBefore w:val="0"/>
                    <w:widowControl w:val="0"/>
                    <w:kinsoku/>
                    <w:wordWrap/>
                    <w:overflowPunct/>
                    <w:topLinePunct w:val="0"/>
                    <w:autoSpaceDE/>
                    <w:autoSpaceDN/>
                    <w:bidi w:val="0"/>
                    <w:adjustRightInd w:val="0"/>
                    <w:snapToGrid w:val="0"/>
                    <w:spacing w:before="156" w:beforeLines="50" w:line="192" w:lineRule="auto"/>
                    <w:jc w:val="center"/>
                    <w:textAlignment w:val="auto"/>
                    <w:outlineLvl w:val="9"/>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月</w:t>
                  </w:r>
                </w:p>
                <w:p w14:paraId="2E7D7F7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p w14:paraId="26AB4A3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r>
                    <w:rPr>
                      <w:rFonts w:hint="eastAsia" w:ascii="Times New Roman" w:hAnsi="Times New Roman" w:eastAsia="宋体" w:cs="Times New Roman"/>
                      <w:color w:val="auto"/>
                      <w:sz w:val="21"/>
                      <w:szCs w:val="21"/>
                      <w:lang w:val="en-US" w:eastAsia="zh-CN"/>
                    </w:rPr>
                    <w:t>日</w:t>
                  </w:r>
                </w:p>
              </w:tc>
              <w:tc>
                <w:tcPr>
                  <w:tcW w:w="1716" w:type="dxa"/>
                  <w:vMerge w:val="restart"/>
                  <w:tcBorders>
                    <w:tl2br w:val="nil"/>
                    <w:tr2bl w:val="nil"/>
                  </w:tcBorders>
                  <w:noWrap w:val="0"/>
                  <w:vAlign w:val="center"/>
                </w:tcPr>
                <w:p w14:paraId="2A5C2D7B">
                  <w:pPr>
                    <w:pStyle w:val="17"/>
                    <w:keepNext w:val="0"/>
                    <w:keepLines w:val="0"/>
                    <w:pageBreakBefore w:val="0"/>
                    <w:kinsoku/>
                    <w:wordWrap/>
                    <w:overflowPunct/>
                    <w:topLinePunct w:val="0"/>
                    <w:autoSpaceDE/>
                    <w:autoSpaceDN/>
                    <w:bidi w:val="0"/>
                    <w:adjustRightInd w:val="0"/>
                    <w:snapToGrid w:val="0"/>
                    <w:spacing w:line="192" w:lineRule="auto"/>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pH</w:t>
                  </w:r>
                </w:p>
                <w:p w14:paraId="0C5632A0">
                  <w:pPr>
                    <w:pStyle w:val="17"/>
                    <w:keepNext w:val="0"/>
                    <w:keepLines w:val="0"/>
                    <w:pageBreakBefore w:val="0"/>
                    <w:kinsoku/>
                    <w:wordWrap/>
                    <w:overflowPunct/>
                    <w:topLinePunct w:val="0"/>
                    <w:autoSpaceDE/>
                    <w:autoSpaceDN/>
                    <w:bidi w:val="0"/>
                    <w:adjustRightInd w:val="0"/>
                    <w:snapToGrid w:val="0"/>
                    <w:spacing w:line="192" w:lineRule="auto"/>
                    <w:jc w:val="center"/>
                    <w:rPr>
                      <w:rFonts w:hint="default" w:ascii="Times New Roman" w:hAnsi="Times New Roman" w:cs="Times New Roman"/>
                      <w:b w:val="0"/>
                      <w:bCs w:val="0"/>
                      <w:spacing w:val="-24"/>
                      <w:sz w:val="21"/>
                      <w:szCs w:val="21"/>
                      <w:lang w:val="en-US" w:eastAsia="zh-CN"/>
                    </w:rPr>
                  </w:pPr>
                  <w:r>
                    <w:rPr>
                      <w:rFonts w:hint="eastAsia" w:ascii="Times New Roman" w:hAnsi="Times New Roman" w:cs="Times New Roman"/>
                      <w:color w:val="auto"/>
                      <w:sz w:val="21"/>
                      <w:szCs w:val="21"/>
                      <w:lang w:val="en-US" w:eastAsia="zh-CN"/>
                    </w:rPr>
                    <w:t>（无量纲）</w:t>
                  </w:r>
                </w:p>
              </w:tc>
              <w:tc>
                <w:tcPr>
                  <w:tcW w:w="2255" w:type="dxa"/>
                  <w:tcBorders>
                    <w:tl2br w:val="nil"/>
                    <w:tr2bl w:val="nil"/>
                  </w:tcBorders>
                  <w:noWrap w:val="0"/>
                  <w:vAlign w:val="center"/>
                </w:tcPr>
                <w:p w14:paraId="72BDEF8E">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260602A1-1</w:t>
                  </w:r>
                </w:p>
              </w:tc>
              <w:tc>
                <w:tcPr>
                  <w:tcW w:w="1887" w:type="dxa"/>
                  <w:tcBorders>
                    <w:tl2br w:val="nil"/>
                    <w:tr2bl w:val="nil"/>
                  </w:tcBorders>
                  <w:noWrap w:val="0"/>
                  <w:vAlign w:val="center"/>
                </w:tcPr>
                <w:p w14:paraId="310847A0">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7.8</w:t>
                  </w:r>
                </w:p>
              </w:tc>
              <w:tc>
                <w:tcPr>
                  <w:tcW w:w="1906" w:type="dxa"/>
                  <w:vMerge w:val="restart"/>
                  <w:tcBorders>
                    <w:tl2br w:val="nil"/>
                    <w:tr2bl w:val="nil"/>
                  </w:tcBorders>
                  <w:noWrap w:val="0"/>
                  <w:vAlign w:val="center"/>
                </w:tcPr>
                <w:p w14:paraId="102AD04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7.7-7.9</w:t>
                  </w:r>
                </w:p>
              </w:tc>
            </w:tr>
            <w:tr w14:paraId="79A9D2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6AF8B6C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20D786F8">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3D6273A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260602A1-2</w:t>
                  </w:r>
                </w:p>
              </w:tc>
              <w:tc>
                <w:tcPr>
                  <w:tcW w:w="1887" w:type="dxa"/>
                  <w:tcBorders>
                    <w:tl2br w:val="nil"/>
                    <w:tr2bl w:val="nil"/>
                  </w:tcBorders>
                  <w:noWrap w:val="0"/>
                  <w:vAlign w:val="center"/>
                </w:tcPr>
                <w:p w14:paraId="66DA9EDA">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7.7</w:t>
                  </w:r>
                </w:p>
              </w:tc>
              <w:tc>
                <w:tcPr>
                  <w:tcW w:w="1906" w:type="dxa"/>
                  <w:vMerge w:val="continue"/>
                  <w:tcBorders>
                    <w:tl2br w:val="nil"/>
                    <w:tr2bl w:val="nil"/>
                  </w:tcBorders>
                  <w:noWrap w:val="0"/>
                  <w:vAlign w:val="center"/>
                </w:tcPr>
                <w:p w14:paraId="7C68AE6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377CE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0EEC454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392C7C64">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1B08801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260602A1-3</w:t>
                  </w:r>
                </w:p>
              </w:tc>
              <w:tc>
                <w:tcPr>
                  <w:tcW w:w="1887" w:type="dxa"/>
                  <w:tcBorders>
                    <w:tl2br w:val="nil"/>
                    <w:tr2bl w:val="nil"/>
                  </w:tcBorders>
                  <w:noWrap w:val="0"/>
                  <w:vAlign w:val="center"/>
                </w:tcPr>
                <w:p w14:paraId="0892DFD2">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7.9</w:t>
                  </w:r>
                </w:p>
              </w:tc>
              <w:tc>
                <w:tcPr>
                  <w:tcW w:w="1906" w:type="dxa"/>
                  <w:vMerge w:val="continue"/>
                  <w:tcBorders>
                    <w:tl2br w:val="nil"/>
                    <w:tr2bl w:val="nil"/>
                  </w:tcBorders>
                  <w:noWrap w:val="0"/>
                  <w:vAlign w:val="center"/>
                </w:tcPr>
                <w:p w14:paraId="4458B64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30D63C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71BD825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2DC79AD6">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75EC0F8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w:t>
                  </w:r>
                  <w:r>
                    <w:rPr>
                      <w:rFonts w:hint="default" w:ascii="Times New Roman" w:hAnsi="Times New Roman" w:eastAsia="宋体" w:cs="Times New Roman"/>
                      <w:b w:val="0"/>
                      <w:bCs/>
                      <w:sz w:val="21"/>
                      <w:szCs w:val="21"/>
                      <w:vertAlign w:val="baseline"/>
                      <w:lang w:val="en-US" w:eastAsia="zh-CN"/>
                    </w:rPr>
                    <w:t>1-4</w:t>
                  </w:r>
                </w:p>
              </w:tc>
              <w:tc>
                <w:tcPr>
                  <w:tcW w:w="1887" w:type="dxa"/>
                  <w:tcBorders>
                    <w:tl2br w:val="nil"/>
                    <w:tr2bl w:val="nil"/>
                  </w:tcBorders>
                  <w:noWrap w:val="0"/>
                  <w:vAlign w:val="center"/>
                </w:tcPr>
                <w:p w14:paraId="3679942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7.7</w:t>
                  </w:r>
                </w:p>
              </w:tc>
              <w:tc>
                <w:tcPr>
                  <w:tcW w:w="1906" w:type="dxa"/>
                  <w:vMerge w:val="continue"/>
                  <w:tcBorders>
                    <w:tl2br w:val="nil"/>
                    <w:tr2bl w:val="nil"/>
                  </w:tcBorders>
                  <w:noWrap w:val="0"/>
                  <w:vAlign w:val="center"/>
                </w:tcPr>
                <w:p w14:paraId="66B506D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797E77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0689C750">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2EE624EB">
                  <w:pPr>
                    <w:keepNext w:val="0"/>
                    <w:keepLines w:val="0"/>
                    <w:pageBreakBefore w:val="0"/>
                    <w:widowControl/>
                    <w:suppressLineNumbers w:val="0"/>
                    <w:kinsoku/>
                    <w:wordWrap/>
                    <w:overflowPunct/>
                    <w:topLinePunct w:val="0"/>
                    <w:autoSpaceDE/>
                    <w:autoSpaceDN/>
                    <w:bidi w:val="0"/>
                    <w:spacing w:line="192" w:lineRule="auto"/>
                    <w:jc w:val="center"/>
                    <w:textAlignment w:val="center"/>
                    <w:rPr>
                      <w:rFonts w:hint="default" w:ascii="Times New Roman" w:hAnsi="Times New Roman" w:cs="Times New Roman"/>
                      <w:b w:val="0"/>
                      <w:bCs w:val="0"/>
                      <w:spacing w:val="-24"/>
                      <w:sz w:val="21"/>
                      <w:szCs w:val="21"/>
                      <w:lang w:val="en-US" w:eastAsia="zh-CN"/>
                    </w:rPr>
                  </w:pPr>
                  <w:r>
                    <w:rPr>
                      <w:rFonts w:hint="eastAsia" w:ascii="Times New Roman" w:hAnsi="Times New Roman" w:eastAsia="宋体" w:cs="Times New Roman"/>
                      <w:color w:val="auto"/>
                      <w:sz w:val="21"/>
                      <w:szCs w:val="21"/>
                      <w:lang w:val="en-US" w:eastAsia="zh-CN"/>
                    </w:rPr>
                    <w:t>化学需氧量</w:t>
                  </w:r>
                </w:p>
              </w:tc>
              <w:tc>
                <w:tcPr>
                  <w:tcW w:w="2255" w:type="dxa"/>
                  <w:tcBorders>
                    <w:tl2br w:val="nil"/>
                    <w:tr2bl w:val="nil"/>
                  </w:tcBorders>
                  <w:noWrap w:val="0"/>
                  <w:vAlign w:val="center"/>
                </w:tcPr>
                <w:p w14:paraId="395EA87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260602A1-1</w:t>
                  </w:r>
                </w:p>
              </w:tc>
              <w:tc>
                <w:tcPr>
                  <w:tcW w:w="1887" w:type="dxa"/>
                  <w:tcBorders>
                    <w:tl2br w:val="nil"/>
                    <w:tr2bl w:val="nil"/>
                  </w:tcBorders>
                  <w:noWrap w:val="0"/>
                  <w:vAlign w:val="center"/>
                </w:tcPr>
                <w:p w14:paraId="02986BD3">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8286</w:t>
                  </w:r>
                </w:p>
              </w:tc>
              <w:tc>
                <w:tcPr>
                  <w:tcW w:w="1906" w:type="dxa"/>
                  <w:vMerge w:val="restart"/>
                  <w:tcBorders>
                    <w:tl2br w:val="nil"/>
                    <w:tr2bl w:val="nil"/>
                  </w:tcBorders>
                  <w:noWrap w:val="0"/>
                  <w:vAlign w:val="center"/>
                </w:tcPr>
                <w:p w14:paraId="44BEBE55">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8189</w:t>
                  </w:r>
                </w:p>
              </w:tc>
            </w:tr>
            <w:tr w14:paraId="377838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65C6C61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74EBF7A3">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3E8BA920">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260602A1-2</w:t>
                  </w:r>
                </w:p>
              </w:tc>
              <w:tc>
                <w:tcPr>
                  <w:tcW w:w="1887" w:type="dxa"/>
                  <w:tcBorders>
                    <w:tl2br w:val="nil"/>
                    <w:tr2bl w:val="nil"/>
                  </w:tcBorders>
                  <w:noWrap w:val="0"/>
                  <w:vAlign w:val="center"/>
                </w:tcPr>
                <w:p w14:paraId="730EBDCB">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8557</w:t>
                  </w:r>
                </w:p>
              </w:tc>
              <w:tc>
                <w:tcPr>
                  <w:tcW w:w="1906" w:type="dxa"/>
                  <w:vMerge w:val="continue"/>
                  <w:tcBorders>
                    <w:tl2br w:val="nil"/>
                    <w:tr2bl w:val="nil"/>
                  </w:tcBorders>
                  <w:noWrap w:val="0"/>
                  <w:vAlign w:val="center"/>
                </w:tcPr>
                <w:p w14:paraId="17C8294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0644E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2FC861A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4DC1CC02">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3647F673">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260602A1-3</w:t>
                  </w:r>
                </w:p>
              </w:tc>
              <w:tc>
                <w:tcPr>
                  <w:tcW w:w="1887" w:type="dxa"/>
                  <w:tcBorders>
                    <w:tl2br w:val="nil"/>
                    <w:tr2bl w:val="nil"/>
                  </w:tcBorders>
                  <w:noWrap w:val="0"/>
                  <w:vAlign w:val="center"/>
                </w:tcPr>
                <w:p w14:paraId="7F021E75">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7163</w:t>
                  </w:r>
                </w:p>
              </w:tc>
              <w:tc>
                <w:tcPr>
                  <w:tcW w:w="1906" w:type="dxa"/>
                  <w:vMerge w:val="continue"/>
                  <w:tcBorders>
                    <w:tl2br w:val="nil"/>
                    <w:tr2bl w:val="nil"/>
                  </w:tcBorders>
                  <w:noWrap w:val="0"/>
                  <w:vAlign w:val="center"/>
                </w:tcPr>
                <w:p w14:paraId="145F55D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7C29C3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6F57130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74A1A442">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7EF145C2">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w:t>
                  </w:r>
                  <w:r>
                    <w:rPr>
                      <w:rFonts w:hint="default" w:ascii="Times New Roman" w:hAnsi="Times New Roman" w:eastAsia="宋体" w:cs="Times New Roman"/>
                      <w:b w:val="0"/>
                      <w:bCs/>
                      <w:sz w:val="21"/>
                      <w:szCs w:val="21"/>
                      <w:vertAlign w:val="baseline"/>
                      <w:lang w:val="en-US" w:eastAsia="zh-CN"/>
                    </w:rPr>
                    <w:t>1-4</w:t>
                  </w:r>
                </w:p>
              </w:tc>
              <w:tc>
                <w:tcPr>
                  <w:tcW w:w="1887" w:type="dxa"/>
                  <w:tcBorders>
                    <w:tl2br w:val="nil"/>
                    <w:tr2bl w:val="nil"/>
                  </w:tcBorders>
                  <w:noWrap w:val="0"/>
                  <w:vAlign w:val="center"/>
                </w:tcPr>
                <w:p w14:paraId="7BF65828">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8751</w:t>
                  </w:r>
                </w:p>
              </w:tc>
              <w:tc>
                <w:tcPr>
                  <w:tcW w:w="1906" w:type="dxa"/>
                  <w:vMerge w:val="continue"/>
                  <w:tcBorders>
                    <w:tl2br w:val="nil"/>
                    <w:tr2bl w:val="nil"/>
                  </w:tcBorders>
                  <w:noWrap w:val="0"/>
                  <w:vAlign w:val="center"/>
                </w:tcPr>
                <w:p w14:paraId="0E8548B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601B56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3A37D88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728CE95B">
                  <w:pPr>
                    <w:keepNext w:val="0"/>
                    <w:keepLines w:val="0"/>
                    <w:pageBreakBefore w:val="0"/>
                    <w:widowControl/>
                    <w:suppressLineNumbers w:val="0"/>
                    <w:kinsoku/>
                    <w:wordWrap/>
                    <w:overflowPunct/>
                    <w:topLinePunct w:val="0"/>
                    <w:autoSpaceDE/>
                    <w:autoSpaceDN/>
                    <w:bidi w:val="0"/>
                    <w:spacing w:line="192" w:lineRule="auto"/>
                    <w:jc w:val="center"/>
                    <w:textAlignment w:val="center"/>
                    <w:rPr>
                      <w:rFonts w:hint="default" w:ascii="Times New Roman" w:hAnsi="Times New Roman" w:cs="Times New Roman"/>
                      <w:b w:val="0"/>
                      <w:bCs w:val="0"/>
                      <w:spacing w:val="-24"/>
                      <w:sz w:val="21"/>
                      <w:szCs w:val="21"/>
                      <w:lang w:val="en-US" w:eastAsia="zh-CN"/>
                    </w:rPr>
                  </w:pPr>
                  <w:r>
                    <w:rPr>
                      <w:rFonts w:hint="eastAsia" w:ascii="Times New Roman" w:hAnsi="Times New Roman" w:cs="Times New Roman"/>
                      <w:bCs/>
                      <w:color w:val="auto"/>
                      <w:kern w:val="0"/>
                      <w:sz w:val="21"/>
                      <w:szCs w:val="21"/>
                      <w:lang w:val="en-US" w:eastAsia="zh-CN" w:bidi="ar-SA"/>
                    </w:rPr>
                    <w:t>五日生化需氧量</w:t>
                  </w:r>
                </w:p>
              </w:tc>
              <w:tc>
                <w:tcPr>
                  <w:tcW w:w="2255" w:type="dxa"/>
                  <w:tcBorders>
                    <w:tl2br w:val="nil"/>
                    <w:tr2bl w:val="nil"/>
                  </w:tcBorders>
                  <w:noWrap w:val="0"/>
                  <w:vAlign w:val="center"/>
                </w:tcPr>
                <w:p w14:paraId="30F5AE2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260602A1-1</w:t>
                  </w:r>
                </w:p>
              </w:tc>
              <w:tc>
                <w:tcPr>
                  <w:tcW w:w="1887" w:type="dxa"/>
                  <w:tcBorders>
                    <w:tl2br w:val="nil"/>
                    <w:tr2bl w:val="nil"/>
                  </w:tcBorders>
                  <w:noWrap w:val="0"/>
                  <w:vAlign w:val="center"/>
                </w:tcPr>
                <w:p w14:paraId="6A3AC23C">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3703</w:t>
                  </w:r>
                </w:p>
              </w:tc>
              <w:tc>
                <w:tcPr>
                  <w:tcW w:w="1906" w:type="dxa"/>
                  <w:vMerge w:val="restart"/>
                  <w:tcBorders>
                    <w:tl2br w:val="nil"/>
                    <w:tr2bl w:val="nil"/>
                  </w:tcBorders>
                  <w:noWrap w:val="0"/>
                  <w:vAlign w:val="center"/>
                </w:tcPr>
                <w:p w14:paraId="24CA8AC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3690</w:t>
                  </w:r>
                </w:p>
              </w:tc>
            </w:tr>
            <w:tr w14:paraId="54B271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4BFF13C9">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7BD009F8">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653F0293">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260602A1-2</w:t>
                  </w:r>
                </w:p>
              </w:tc>
              <w:tc>
                <w:tcPr>
                  <w:tcW w:w="1887" w:type="dxa"/>
                  <w:tcBorders>
                    <w:tl2br w:val="nil"/>
                    <w:tr2bl w:val="nil"/>
                  </w:tcBorders>
                  <w:noWrap w:val="0"/>
                  <w:vAlign w:val="center"/>
                </w:tcPr>
                <w:p w14:paraId="31765316">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3871</w:t>
                  </w:r>
                </w:p>
              </w:tc>
              <w:tc>
                <w:tcPr>
                  <w:tcW w:w="1906" w:type="dxa"/>
                  <w:vMerge w:val="continue"/>
                  <w:tcBorders>
                    <w:tl2br w:val="nil"/>
                    <w:tr2bl w:val="nil"/>
                  </w:tcBorders>
                  <w:noWrap w:val="0"/>
                  <w:vAlign w:val="center"/>
                </w:tcPr>
                <w:p w14:paraId="44051AB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2EBB12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30A65A3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2EC8556D">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5423931A">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260602A1-3</w:t>
                  </w:r>
                </w:p>
              </w:tc>
              <w:tc>
                <w:tcPr>
                  <w:tcW w:w="1887" w:type="dxa"/>
                  <w:tcBorders>
                    <w:tl2br w:val="nil"/>
                    <w:tr2bl w:val="nil"/>
                  </w:tcBorders>
                  <w:noWrap w:val="0"/>
                  <w:vAlign w:val="center"/>
                </w:tcPr>
                <w:p w14:paraId="3A83EB1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3251</w:t>
                  </w:r>
                </w:p>
              </w:tc>
              <w:tc>
                <w:tcPr>
                  <w:tcW w:w="1906" w:type="dxa"/>
                  <w:vMerge w:val="continue"/>
                  <w:tcBorders>
                    <w:tl2br w:val="nil"/>
                    <w:tr2bl w:val="nil"/>
                  </w:tcBorders>
                  <w:noWrap w:val="0"/>
                  <w:vAlign w:val="center"/>
                </w:tcPr>
                <w:p w14:paraId="04B64CA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0C960F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7C01E16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33FE4E74">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59160F55">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w:t>
                  </w:r>
                  <w:r>
                    <w:rPr>
                      <w:rFonts w:hint="default" w:ascii="Times New Roman" w:hAnsi="Times New Roman" w:eastAsia="宋体" w:cs="Times New Roman"/>
                      <w:b w:val="0"/>
                      <w:bCs/>
                      <w:sz w:val="21"/>
                      <w:szCs w:val="21"/>
                      <w:vertAlign w:val="baseline"/>
                      <w:lang w:val="en-US" w:eastAsia="zh-CN"/>
                    </w:rPr>
                    <w:t>1-4</w:t>
                  </w:r>
                </w:p>
              </w:tc>
              <w:tc>
                <w:tcPr>
                  <w:tcW w:w="1887" w:type="dxa"/>
                  <w:tcBorders>
                    <w:tl2br w:val="nil"/>
                    <w:tr2bl w:val="nil"/>
                  </w:tcBorders>
                  <w:noWrap w:val="0"/>
                  <w:vAlign w:val="center"/>
                </w:tcPr>
                <w:p w14:paraId="159D5CA6">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3936</w:t>
                  </w:r>
                </w:p>
              </w:tc>
              <w:tc>
                <w:tcPr>
                  <w:tcW w:w="1906" w:type="dxa"/>
                  <w:vMerge w:val="continue"/>
                  <w:tcBorders>
                    <w:tl2br w:val="nil"/>
                    <w:tr2bl w:val="nil"/>
                  </w:tcBorders>
                  <w:noWrap w:val="0"/>
                  <w:vAlign w:val="center"/>
                </w:tcPr>
                <w:p w14:paraId="047F386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0F81AC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2D92E1D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7CB85FEF">
                  <w:pPr>
                    <w:keepNext w:val="0"/>
                    <w:keepLines w:val="0"/>
                    <w:pageBreakBefore w:val="0"/>
                    <w:widowControl/>
                    <w:suppressLineNumbers w:val="0"/>
                    <w:kinsoku/>
                    <w:wordWrap/>
                    <w:overflowPunct/>
                    <w:topLinePunct w:val="0"/>
                    <w:autoSpaceDE/>
                    <w:autoSpaceDN/>
                    <w:bidi w:val="0"/>
                    <w:spacing w:line="192" w:lineRule="auto"/>
                    <w:jc w:val="center"/>
                    <w:textAlignment w:val="center"/>
                    <w:rPr>
                      <w:rFonts w:hint="default" w:ascii="Times New Roman" w:hAnsi="Times New Roman" w:cs="Times New Roman"/>
                      <w:b w:val="0"/>
                      <w:bCs w:val="0"/>
                      <w:spacing w:val="-24"/>
                      <w:sz w:val="21"/>
                      <w:szCs w:val="21"/>
                      <w:lang w:val="en-US" w:eastAsia="zh-CN"/>
                    </w:rPr>
                  </w:pPr>
                  <w:r>
                    <w:rPr>
                      <w:rFonts w:hint="eastAsia" w:ascii="Times New Roman" w:hAnsi="Times New Roman" w:eastAsia="宋体" w:cs="Times New Roman"/>
                      <w:i w:val="0"/>
                      <w:color w:val="auto"/>
                      <w:kern w:val="0"/>
                      <w:sz w:val="21"/>
                      <w:szCs w:val="21"/>
                      <w:u w:val="none"/>
                      <w:lang w:val="en-US" w:eastAsia="zh-CN" w:bidi="ar"/>
                    </w:rPr>
                    <w:t>氨氮</w:t>
                  </w:r>
                </w:p>
              </w:tc>
              <w:tc>
                <w:tcPr>
                  <w:tcW w:w="2255" w:type="dxa"/>
                  <w:tcBorders>
                    <w:tl2br w:val="nil"/>
                    <w:tr2bl w:val="nil"/>
                  </w:tcBorders>
                  <w:noWrap w:val="0"/>
                  <w:vAlign w:val="center"/>
                </w:tcPr>
                <w:p w14:paraId="534F92B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260602A1-1</w:t>
                  </w:r>
                </w:p>
              </w:tc>
              <w:tc>
                <w:tcPr>
                  <w:tcW w:w="1887" w:type="dxa"/>
                  <w:tcBorders>
                    <w:tl2br w:val="nil"/>
                    <w:tr2bl w:val="nil"/>
                  </w:tcBorders>
                  <w:noWrap w:val="0"/>
                  <w:vAlign w:val="center"/>
                </w:tcPr>
                <w:p w14:paraId="00389A68">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254</w:t>
                  </w:r>
                </w:p>
              </w:tc>
              <w:tc>
                <w:tcPr>
                  <w:tcW w:w="1906" w:type="dxa"/>
                  <w:vMerge w:val="restart"/>
                  <w:tcBorders>
                    <w:tl2br w:val="nil"/>
                    <w:tr2bl w:val="nil"/>
                  </w:tcBorders>
                  <w:noWrap w:val="0"/>
                  <w:vAlign w:val="center"/>
                </w:tcPr>
                <w:p w14:paraId="7D45911D">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260</w:t>
                  </w:r>
                </w:p>
              </w:tc>
            </w:tr>
            <w:tr w14:paraId="004609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70E108A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4D1DC4C1">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7C62A1A5">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260602A1-2</w:t>
                  </w:r>
                </w:p>
              </w:tc>
              <w:tc>
                <w:tcPr>
                  <w:tcW w:w="1887" w:type="dxa"/>
                  <w:tcBorders>
                    <w:tl2br w:val="nil"/>
                    <w:tr2bl w:val="nil"/>
                  </w:tcBorders>
                  <w:noWrap w:val="0"/>
                  <w:vAlign w:val="center"/>
                </w:tcPr>
                <w:p w14:paraId="4398509F">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266</w:t>
                  </w:r>
                </w:p>
              </w:tc>
              <w:tc>
                <w:tcPr>
                  <w:tcW w:w="1906" w:type="dxa"/>
                  <w:vMerge w:val="continue"/>
                  <w:tcBorders>
                    <w:tl2br w:val="nil"/>
                    <w:tr2bl w:val="nil"/>
                  </w:tcBorders>
                  <w:noWrap w:val="0"/>
                  <w:vAlign w:val="center"/>
                </w:tcPr>
                <w:p w14:paraId="3404BCB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2DB06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4AB6EE5B">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4AD75989">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392547E3">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260602A1-3</w:t>
                  </w:r>
                </w:p>
              </w:tc>
              <w:tc>
                <w:tcPr>
                  <w:tcW w:w="1887" w:type="dxa"/>
                  <w:tcBorders>
                    <w:tl2br w:val="nil"/>
                    <w:tr2bl w:val="nil"/>
                  </w:tcBorders>
                  <w:noWrap w:val="0"/>
                  <w:vAlign w:val="center"/>
                </w:tcPr>
                <w:p w14:paraId="77DA7126">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269</w:t>
                  </w:r>
                </w:p>
              </w:tc>
              <w:tc>
                <w:tcPr>
                  <w:tcW w:w="1906" w:type="dxa"/>
                  <w:vMerge w:val="continue"/>
                  <w:tcBorders>
                    <w:tl2br w:val="nil"/>
                    <w:tr2bl w:val="nil"/>
                  </w:tcBorders>
                  <w:noWrap w:val="0"/>
                  <w:vAlign w:val="center"/>
                </w:tcPr>
                <w:p w14:paraId="0913EC3A">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371EA3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5C04A7D8">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5149C9E0">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2D667788">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w:t>
                  </w:r>
                  <w:r>
                    <w:rPr>
                      <w:rFonts w:hint="default" w:ascii="Times New Roman" w:hAnsi="Times New Roman" w:eastAsia="宋体" w:cs="Times New Roman"/>
                      <w:b w:val="0"/>
                      <w:bCs/>
                      <w:sz w:val="21"/>
                      <w:szCs w:val="21"/>
                      <w:vertAlign w:val="baseline"/>
                      <w:lang w:val="en-US" w:eastAsia="zh-CN"/>
                    </w:rPr>
                    <w:t>1-4</w:t>
                  </w:r>
                </w:p>
              </w:tc>
              <w:tc>
                <w:tcPr>
                  <w:tcW w:w="1887" w:type="dxa"/>
                  <w:tcBorders>
                    <w:tl2br w:val="nil"/>
                    <w:tr2bl w:val="nil"/>
                  </w:tcBorders>
                  <w:noWrap w:val="0"/>
                  <w:vAlign w:val="center"/>
                </w:tcPr>
                <w:p w14:paraId="6AE230B3">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252</w:t>
                  </w:r>
                </w:p>
              </w:tc>
              <w:tc>
                <w:tcPr>
                  <w:tcW w:w="1906" w:type="dxa"/>
                  <w:vMerge w:val="continue"/>
                  <w:tcBorders>
                    <w:tl2br w:val="nil"/>
                    <w:tr2bl w:val="nil"/>
                  </w:tcBorders>
                  <w:noWrap w:val="0"/>
                  <w:vAlign w:val="center"/>
                </w:tcPr>
                <w:p w14:paraId="7CD8AE6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31E12A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6FB4179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restart"/>
                  <w:tcBorders>
                    <w:tl2br w:val="nil"/>
                    <w:tr2bl w:val="nil"/>
                  </w:tcBorders>
                  <w:noWrap w:val="0"/>
                  <w:vAlign w:val="center"/>
                </w:tcPr>
                <w:p w14:paraId="2ECB611B">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r>
                    <w:rPr>
                      <w:rFonts w:hint="eastAsia" w:ascii="Times New Roman" w:hAnsi="Times New Roman" w:cs="Times New Roman"/>
                      <w:b w:val="0"/>
                      <w:bCs w:val="0"/>
                      <w:spacing w:val="-24"/>
                      <w:sz w:val="21"/>
                      <w:szCs w:val="21"/>
                      <w:lang w:val="en-US" w:eastAsia="zh-CN"/>
                    </w:rPr>
                    <w:t>总氮</w:t>
                  </w:r>
                </w:p>
              </w:tc>
              <w:tc>
                <w:tcPr>
                  <w:tcW w:w="2255" w:type="dxa"/>
                  <w:tcBorders>
                    <w:tl2br w:val="nil"/>
                    <w:tr2bl w:val="nil"/>
                  </w:tcBorders>
                  <w:noWrap w:val="0"/>
                  <w:vAlign w:val="center"/>
                </w:tcPr>
                <w:p w14:paraId="3960FF51">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260602A1-1</w:t>
                  </w:r>
                </w:p>
              </w:tc>
              <w:tc>
                <w:tcPr>
                  <w:tcW w:w="1887" w:type="dxa"/>
                  <w:tcBorders>
                    <w:tl2br w:val="nil"/>
                    <w:tr2bl w:val="nil"/>
                  </w:tcBorders>
                  <w:noWrap w:val="0"/>
                  <w:vAlign w:val="center"/>
                </w:tcPr>
                <w:p w14:paraId="662C0B44">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330</w:t>
                  </w:r>
                </w:p>
              </w:tc>
              <w:tc>
                <w:tcPr>
                  <w:tcW w:w="1906" w:type="dxa"/>
                  <w:vMerge w:val="restart"/>
                  <w:tcBorders>
                    <w:tl2br w:val="nil"/>
                    <w:tr2bl w:val="nil"/>
                  </w:tcBorders>
                  <w:noWrap w:val="0"/>
                  <w:vAlign w:val="center"/>
                </w:tcPr>
                <w:p w14:paraId="034169F0">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val="en-US" w:eastAsia="zh-CN"/>
                    </w:rPr>
                  </w:pPr>
                  <w:r>
                    <w:rPr>
                      <w:rFonts w:hint="eastAsia" w:ascii="Times New Roman" w:hAnsi="Times New Roman" w:cs="Times New Roman"/>
                      <w:b w:val="0"/>
                      <w:bCs/>
                      <w:sz w:val="21"/>
                      <w:szCs w:val="21"/>
                      <w:vertAlign w:val="baseline"/>
                      <w:lang w:val="en-US" w:eastAsia="zh-CN"/>
                    </w:rPr>
                    <w:t>353</w:t>
                  </w:r>
                </w:p>
              </w:tc>
            </w:tr>
            <w:tr w14:paraId="0D92EA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53FFA397">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64B519FA">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41EBA5C3">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260602A1-2</w:t>
                  </w:r>
                </w:p>
              </w:tc>
              <w:tc>
                <w:tcPr>
                  <w:tcW w:w="1887" w:type="dxa"/>
                  <w:tcBorders>
                    <w:tl2br w:val="nil"/>
                    <w:tr2bl w:val="nil"/>
                  </w:tcBorders>
                  <w:noWrap w:val="0"/>
                  <w:vAlign w:val="center"/>
                </w:tcPr>
                <w:p w14:paraId="4F98FEFB">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345</w:t>
                  </w:r>
                </w:p>
              </w:tc>
              <w:tc>
                <w:tcPr>
                  <w:tcW w:w="1906" w:type="dxa"/>
                  <w:vMerge w:val="continue"/>
                  <w:tcBorders>
                    <w:tl2br w:val="nil"/>
                    <w:tr2bl w:val="nil"/>
                  </w:tcBorders>
                  <w:noWrap w:val="0"/>
                  <w:vAlign w:val="center"/>
                </w:tcPr>
                <w:p w14:paraId="64AB3D5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3CCE64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231CAC3C">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2E2309FA">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1C0B2B69">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260602A1-3</w:t>
                  </w:r>
                </w:p>
              </w:tc>
              <w:tc>
                <w:tcPr>
                  <w:tcW w:w="1887" w:type="dxa"/>
                  <w:tcBorders>
                    <w:tl2br w:val="nil"/>
                    <w:tr2bl w:val="nil"/>
                  </w:tcBorders>
                  <w:noWrap w:val="0"/>
                  <w:vAlign w:val="center"/>
                </w:tcPr>
                <w:p w14:paraId="2396E626">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372</w:t>
                  </w:r>
                </w:p>
              </w:tc>
              <w:tc>
                <w:tcPr>
                  <w:tcW w:w="1906" w:type="dxa"/>
                  <w:vMerge w:val="continue"/>
                  <w:tcBorders>
                    <w:tl2br w:val="nil"/>
                    <w:tr2bl w:val="nil"/>
                  </w:tcBorders>
                  <w:noWrap w:val="0"/>
                  <w:vAlign w:val="center"/>
                </w:tcPr>
                <w:p w14:paraId="48830EB3">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r w14:paraId="40C8D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7" w:type="dxa"/>
                  <w:vMerge w:val="continue"/>
                  <w:tcBorders>
                    <w:tl2br w:val="nil"/>
                    <w:tr2bl w:val="nil"/>
                  </w:tcBorders>
                  <w:noWrap w:val="0"/>
                  <w:vAlign w:val="center"/>
                </w:tcPr>
                <w:p w14:paraId="03B922B6">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sz w:val="21"/>
                      <w:szCs w:val="21"/>
                      <w:vertAlign w:val="baseline"/>
                      <w:lang w:eastAsia="zh-CN"/>
                    </w:rPr>
                  </w:pPr>
                </w:p>
              </w:tc>
              <w:tc>
                <w:tcPr>
                  <w:tcW w:w="1716" w:type="dxa"/>
                  <w:vMerge w:val="continue"/>
                  <w:tcBorders>
                    <w:tl2br w:val="nil"/>
                    <w:tr2bl w:val="nil"/>
                  </w:tcBorders>
                  <w:noWrap w:val="0"/>
                  <w:vAlign w:val="center"/>
                </w:tcPr>
                <w:p w14:paraId="16B90C66">
                  <w:pPr>
                    <w:pStyle w:val="17"/>
                    <w:keepNext w:val="0"/>
                    <w:keepLines w:val="0"/>
                    <w:pageBreakBefore w:val="0"/>
                    <w:widowControl w:val="0"/>
                    <w:kinsoku/>
                    <w:wordWrap/>
                    <w:overflowPunct/>
                    <w:topLinePunct w:val="0"/>
                    <w:autoSpaceDE/>
                    <w:autoSpaceDN/>
                    <w:bidi w:val="0"/>
                    <w:adjustRightInd w:val="0"/>
                    <w:snapToGrid w:val="0"/>
                    <w:spacing w:line="192" w:lineRule="auto"/>
                    <w:jc w:val="center"/>
                    <w:textAlignment w:val="auto"/>
                    <w:outlineLvl w:val="9"/>
                    <w:rPr>
                      <w:rFonts w:hint="default" w:ascii="Times New Roman" w:hAnsi="Times New Roman" w:cs="Times New Roman"/>
                      <w:b w:val="0"/>
                      <w:bCs w:val="0"/>
                      <w:spacing w:val="-24"/>
                      <w:sz w:val="21"/>
                      <w:szCs w:val="21"/>
                      <w:lang w:val="en-US" w:eastAsia="zh-CN"/>
                    </w:rPr>
                  </w:pPr>
                </w:p>
              </w:tc>
              <w:tc>
                <w:tcPr>
                  <w:tcW w:w="2255" w:type="dxa"/>
                  <w:tcBorders>
                    <w:tl2br w:val="nil"/>
                    <w:tr2bl w:val="nil"/>
                  </w:tcBorders>
                  <w:noWrap w:val="0"/>
                  <w:vAlign w:val="center"/>
                </w:tcPr>
                <w:p w14:paraId="223F0734">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eastAsia="宋体" w:cs="Times New Roman"/>
                      <w:b w:val="0"/>
                      <w:bCs/>
                      <w:kern w:val="2"/>
                      <w:sz w:val="21"/>
                      <w:szCs w:val="21"/>
                      <w:vertAlign w:val="baseline"/>
                      <w:lang w:val="en-US" w:eastAsia="zh-CN" w:bidi="ar-SA"/>
                    </w:rPr>
                  </w:pPr>
                  <w:r>
                    <w:rPr>
                      <w:rFonts w:hint="eastAsia" w:ascii="Times New Roman" w:hAnsi="Times New Roman" w:eastAsia="宋体" w:cs="Times New Roman"/>
                      <w:b w:val="0"/>
                      <w:bCs/>
                      <w:sz w:val="21"/>
                      <w:szCs w:val="21"/>
                      <w:vertAlign w:val="baseline"/>
                      <w:lang w:val="en-US" w:eastAsia="zh-CN"/>
                    </w:rPr>
                    <w:t>260602A</w:t>
                  </w:r>
                  <w:r>
                    <w:rPr>
                      <w:rFonts w:hint="default" w:ascii="Times New Roman" w:hAnsi="Times New Roman" w:eastAsia="宋体" w:cs="Times New Roman"/>
                      <w:b w:val="0"/>
                      <w:bCs/>
                      <w:sz w:val="21"/>
                      <w:szCs w:val="21"/>
                      <w:vertAlign w:val="baseline"/>
                      <w:lang w:val="en-US" w:eastAsia="zh-CN"/>
                    </w:rPr>
                    <w:t>1-4</w:t>
                  </w:r>
                </w:p>
              </w:tc>
              <w:tc>
                <w:tcPr>
                  <w:tcW w:w="1887" w:type="dxa"/>
                  <w:tcBorders>
                    <w:tl2br w:val="nil"/>
                    <w:tr2bl w:val="nil"/>
                  </w:tcBorders>
                  <w:noWrap w:val="0"/>
                  <w:vAlign w:val="center"/>
                </w:tcPr>
                <w:p w14:paraId="3A6D23DD">
                  <w:pPr>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364</w:t>
                  </w:r>
                </w:p>
              </w:tc>
              <w:tc>
                <w:tcPr>
                  <w:tcW w:w="1906" w:type="dxa"/>
                  <w:vMerge w:val="continue"/>
                  <w:tcBorders>
                    <w:tl2br w:val="nil"/>
                    <w:tr2bl w:val="nil"/>
                  </w:tcBorders>
                  <w:noWrap w:val="0"/>
                  <w:vAlign w:val="center"/>
                </w:tcPr>
                <w:p w14:paraId="774CEC5F">
                  <w:pPr>
                    <w:pStyle w:val="17"/>
                    <w:keepNext w:val="0"/>
                    <w:keepLines w:val="0"/>
                    <w:pageBreakBefore w:val="0"/>
                    <w:widowControl w:val="0"/>
                    <w:kinsoku/>
                    <w:wordWrap/>
                    <w:overflowPunct/>
                    <w:topLinePunct w:val="0"/>
                    <w:autoSpaceDE/>
                    <w:autoSpaceDN/>
                    <w:bidi w:val="0"/>
                    <w:snapToGrid w:val="0"/>
                    <w:spacing w:before="156" w:beforeLines="50" w:line="192" w:lineRule="auto"/>
                    <w:jc w:val="center"/>
                    <w:textAlignment w:val="auto"/>
                    <w:outlineLvl w:val="9"/>
                    <w:rPr>
                      <w:rFonts w:hint="default" w:ascii="Times New Roman" w:hAnsi="Times New Roman" w:cs="Times New Roman"/>
                      <w:b w:val="0"/>
                      <w:bCs/>
                      <w:sz w:val="21"/>
                      <w:szCs w:val="21"/>
                      <w:vertAlign w:val="baseline"/>
                      <w:lang w:eastAsia="zh-CN"/>
                    </w:rPr>
                  </w:pPr>
                </w:p>
              </w:tc>
            </w:tr>
          </w:tbl>
          <w:p w14:paraId="0AF4A58E">
            <w:pPr>
              <w:spacing w:line="240" w:lineRule="auto"/>
              <w:jc w:val="center"/>
              <w:rPr>
                <w:rFonts w:hint="eastAsia" w:cs="Times New Roman"/>
                <w:b/>
                <w:bCs/>
                <w:color w:val="auto"/>
                <w:sz w:val="24"/>
                <w:szCs w:val="24"/>
                <w:lang w:val="en-US" w:eastAsia="zh-CN"/>
              </w:rPr>
            </w:pPr>
          </w:p>
          <w:p w14:paraId="6BC2060E">
            <w:pPr>
              <w:keepNext w:val="0"/>
              <w:keepLines w:val="0"/>
              <w:pageBreakBefore w:val="0"/>
              <w:widowControl w:val="0"/>
              <w:kinsoku/>
              <w:wordWrap/>
              <w:overflowPunct/>
              <w:topLinePunct w:val="0"/>
              <w:autoSpaceDE/>
              <w:autoSpaceDN/>
              <w:bidi w:val="0"/>
              <w:adjustRightInd/>
              <w:snapToGrid w:val="0"/>
              <w:spacing w:line="360" w:lineRule="auto"/>
              <w:ind w:right="0" w:rightChars="0" w:firstLine="482" w:firstLineChars="200"/>
              <w:jc w:val="left"/>
              <w:textAlignment w:val="auto"/>
              <w:outlineLvl w:val="9"/>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bCs/>
                <w:color w:val="auto"/>
                <w:sz w:val="24"/>
                <w:szCs w:val="24"/>
                <w:lang w:val="en-US" w:eastAsia="zh-CN"/>
              </w:rPr>
              <w:t>废水</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color w:val="auto"/>
                <w:kern w:val="2"/>
                <w:sz w:val="24"/>
                <w:szCs w:val="24"/>
                <w:lang w:val="en-US" w:eastAsia="zh-CN" w:bidi="ar-SA"/>
              </w:rPr>
              <w:t>按照</w:t>
            </w:r>
            <w:r>
              <w:rPr>
                <w:rFonts w:hint="eastAsia" w:cs="Times New Roman"/>
                <w:color w:val="auto"/>
                <w:kern w:val="2"/>
                <w:sz w:val="24"/>
                <w:szCs w:val="24"/>
                <w:lang w:val="en-US" w:eastAsia="zh-CN" w:bidi="ar-SA"/>
              </w:rPr>
              <w:t>渗滤液处理厂接纳</w:t>
            </w:r>
            <w:r>
              <w:rPr>
                <w:rFonts w:hint="default" w:ascii="Times New Roman" w:hAnsi="Times New Roman" w:eastAsia="宋体" w:cs="Times New Roman"/>
                <w:color w:val="auto"/>
                <w:kern w:val="2"/>
                <w:sz w:val="24"/>
                <w:szCs w:val="24"/>
                <w:lang w:val="en-US" w:eastAsia="zh-CN" w:bidi="ar-SA"/>
              </w:rPr>
              <w:t>标准进行评价</w:t>
            </w:r>
            <w:r>
              <w:rPr>
                <w:rFonts w:hint="default" w:ascii="Times New Roman" w:hAnsi="Times New Roman" w:eastAsia="宋体" w:cs="Times New Roman"/>
                <w:kern w:val="2"/>
                <w:sz w:val="24"/>
                <w:szCs w:val="24"/>
                <w:lang w:val="en-US" w:eastAsia="zh-CN" w:bidi="ar-SA"/>
              </w:rPr>
              <w:t>，</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1#</w:t>
            </w:r>
            <w:r>
              <w:rPr>
                <w:rFonts w:hint="default" w:ascii="Times New Roman" w:hAnsi="Times New Roman" w:eastAsia="宋体" w:cs="Times New Roman"/>
                <w:kern w:val="2"/>
                <w:sz w:val="24"/>
                <w:szCs w:val="24"/>
                <w:lang w:val="en-US" w:eastAsia="zh-CN" w:bidi="ar-SA"/>
              </w:rPr>
              <w:t>处理设施废水总排口pH、化学需氧量、五日生化需氧量、氨氮、</w:t>
            </w:r>
            <w:r>
              <w:rPr>
                <w:rFonts w:hint="eastAsia" w:cs="Times New Roman"/>
                <w:kern w:val="2"/>
                <w:sz w:val="24"/>
                <w:szCs w:val="24"/>
                <w:lang w:val="en-US" w:eastAsia="zh-CN" w:bidi="ar-SA"/>
              </w:rPr>
              <w:t>总氮</w:t>
            </w:r>
            <w:r>
              <w:rPr>
                <w:rFonts w:hint="default" w:ascii="Times New Roman" w:hAnsi="Times New Roman" w:eastAsia="宋体" w:cs="Times New Roman"/>
                <w:kern w:val="2"/>
                <w:sz w:val="24"/>
                <w:szCs w:val="24"/>
                <w:lang w:val="en-US" w:eastAsia="zh-CN" w:bidi="ar-SA"/>
              </w:rPr>
              <w:t>指标</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w:t>
            </w:r>
            <w:r>
              <w:rPr>
                <w:rFonts w:hint="default" w:ascii="Times New Roman" w:hAnsi="Times New Roman" w:eastAsia="宋体" w:cs="Times New Roman"/>
                <w:kern w:val="2"/>
                <w:sz w:val="24"/>
                <w:szCs w:val="24"/>
                <w:lang w:val="en-US" w:eastAsia="zh-CN" w:bidi="ar-SA"/>
              </w:rPr>
              <w:t>连续两天检测数据表明均</w:t>
            </w:r>
            <w:r>
              <w:rPr>
                <w:rFonts w:hint="default" w:ascii="Times New Roman" w:hAnsi="Times New Roman" w:eastAsia="宋体" w:cs="Times New Roman"/>
                <w:b/>
                <w:bCs/>
                <w:kern w:val="2"/>
                <w:sz w:val="24"/>
                <w:szCs w:val="24"/>
                <w:lang w:val="en-US" w:eastAsia="zh-CN" w:bidi="ar-SA"/>
              </w:rPr>
              <w:t>达标</w:t>
            </w:r>
            <w:r>
              <w:rPr>
                <w:rFonts w:hint="default" w:ascii="Times New Roman" w:hAnsi="Times New Roman" w:eastAsia="宋体" w:cs="Times New Roman"/>
                <w:b w:val="0"/>
                <w:bCs w:val="0"/>
                <w:kern w:val="2"/>
                <w:sz w:val="24"/>
                <w:szCs w:val="24"/>
                <w:lang w:val="en-US" w:eastAsia="zh-CN" w:bidi="ar-SA"/>
              </w:rPr>
              <w:t>。</w:t>
            </w:r>
          </w:p>
          <w:p w14:paraId="140FC13C">
            <w:pPr>
              <w:numPr>
                <w:ilvl w:val="0"/>
                <w:numId w:val="0"/>
              </w:numPr>
              <w:spacing w:line="360" w:lineRule="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5. 有组织废气</w:t>
            </w:r>
            <w:r>
              <w:rPr>
                <w:rFonts w:hint="default" w:ascii="Times New Roman" w:hAnsi="Times New Roman" w:cs="Times New Roman"/>
                <w:b/>
                <w:bCs/>
                <w:color w:val="auto"/>
                <w:sz w:val="24"/>
                <w:szCs w:val="24"/>
              </w:rPr>
              <w:t>验收</w:t>
            </w:r>
            <w:r>
              <w:rPr>
                <w:rFonts w:hint="eastAsia" w:ascii="Times New Roman" w:hAnsi="Times New Roman" w:cs="Times New Roman"/>
                <w:b/>
                <w:bCs/>
                <w:color w:val="auto"/>
                <w:sz w:val="24"/>
                <w:szCs w:val="24"/>
                <w:lang w:eastAsia="zh-CN"/>
              </w:rPr>
              <w:t>检测</w:t>
            </w:r>
            <w:r>
              <w:rPr>
                <w:rFonts w:hint="default" w:ascii="Times New Roman" w:hAnsi="Times New Roman" w:cs="Times New Roman"/>
                <w:b/>
                <w:bCs/>
                <w:color w:val="auto"/>
                <w:sz w:val="24"/>
                <w:szCs w:val="24"/>
              </w:rPr>
              <w:t>结果</w:t>
            </w:r>
          </w:p>
          <w:p w14:paraId="5F858F1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Times New Roman" w:hAnsi="Times New Roman"/>
                <w:b/>
                <w:color w:val="auto"/>
                <w:sz w:val="28"/>
                <w:szCs w:val="28"/>
              </w:rPr>
            </w:pPr>
            <w:r>
              <w:rPr>
                <w:rFonts w:hint="eastAsia" w:ascii="Times New Roman" w:hAnsi="Times New Roman" w:cs="Times New Roman"/>
                <w:spacing w:val="4"/>
                <w:sz w:val="24"/>
                <w:szCs w:val="24"/>
                <w:lang w:val="en-US" w:eastAsia="zh-CN"/>
              </w:rPr>
              <w:t xml:space="preserve">    有组织</w:t>
            </w:r>
            <w:r>
              <w:rPr>
                <w:rFonts w:hint="default" w:ascii="Times New Roman" w:hAnsi="Times New Roman" w:cs="Times New Roman"/>
                <w:spacing w:val="4"/>
                <w:sz w:val="24"/>
                <w:szCs w:val="24"/>
                <w:lang w:eastAsia="zh-CN"/>
              </w:rPr>
              <w:t>废气</w:t>
            </w:r>
            <w:r>
              <w:rPr>
                <w:rFonts w:hint="default" w:ascii="Times New Roman" w:hAnsi="Times New Roman" w:cs="Times New Roman"/>
                <w:spacing w:val="4"/>
                <w:sz w:val="24"/>
                <w:szCs w:val="24"/>
              </w:rPr>
              <w:t>：</w:t>
            </w:r>
            <w:r>
              <w:rPr>
                <w:rFonts w:hint="eastAsia" w:ascii="Times New Roman" w:hAnsi="Times New Roman" w:eastAsia="宋体" w:cs="Times New Roman"/>
                <w:spacing w:val="4"/>
                <w:kern w:val="0"/>
                <w:sz w:val="24"/>
                <w:szCs w:val="24"/>
                <w:lang w:val="en-US" w:eastAsia="zh-CN" w:bidi="ar-SA"/>
              </w:rPr>
              <w:t>1#除臭废气排气筒，</w:t>
            </w:r>
            <w:r>
              <w:rPr>
                <w:rFonts w:hint="default" w:ascii="Times New Roman" w:hAnsi="Times New Roman" w:eastAsia="宋体" w:cs="Times New Roman"/>
                <w:spacing w:val="4"/>
                <w:kern w:val="0"/>
                <w:sz w:val="24"/>
                <w:szCs w:val="24"/>
                <w:lang w:val="en-US" w:eastAsia="zh-CN" w:bidi="ar-SA"/>
              </w:rPr>
              <w:t>项目为</w:t>
            </w:r>
            <w:r>
              <w:rPr>
                <w:rFonts w:hint="eastAsia" w:ascii="Times New Roman" w:hAnsi="Times New Roman" w:eastAsia="宋体" w:cs="Times New Roman"/>
                <w:spacing w:val="4"/>
                <w:kern w:val="0"/>
                <w:sz w:val="24"/>
                <w:szCs w:val="24"/>
                <w:lang w:val="en-US" w:eastAsia="zh-CN" w:bidi="ar-SA"/>
              </w:rPr>
              <w:t>硫化氢、氨、臭气浓度、</w:t>
            </w:r>
            <w:r>
              <w:rPr>
                <w:rFonts w:hint="default" w:ascii="Times New Roman" w:hAnsi="Times New Roman" w:cs="Times New Roman"/>
                <w:color w:val="auto"/>
                <w:sz w:val="21"/>
                <w:szCs w:val="21"/>
                <w:lang w:val="en-US" w:eastAsia="zh-CN"/>
              </w:rPr>
              <w:t>VOC</w:t>
            </w:r>
            <w:r>
              <w:rPr>
                <w:rFonts w:hint="eastAsia" w:ascii="Times New Roman" w:hAnsi="Times New Roman" w:cs="Times New Roman"/>
                <w:color w:val="auto"/>
                <w:sz w:val="21"/>
                <w:szCs w:val="21"/>
                <w:lang w:val="en-US" w:eastAsia="zh-CN"/>
              </w:rPr>
              <w:t>s</w:t>
            </w:r>
            <w:r>
              <w:rPr>
                <w:rFonts w:hint="default" w:ascii="Times New Roman" w:hAnsi="Times New Roman" w:eastAsia="宋体" w:cs="Times New Roman"/>
                <w:spacing w:val="4"/>
                <w:kern w:val="0"/>
                <w:sz w:val="24"/>
                <w:szCs w:val="24"/>
                <w:lang w:val="en-US" w:eastAsia="zh-CN" w:bidi="ar-SA"/>
              </w:rPr>
              <w:t>，每天</w:t>
            </w:r>
            <w:r>
              <w:rPr>
                <w:rFonts w:hint="eastAsia" w:ascii="Times New Roman" w:hAnsi="Times New Roman" w:eastAsia="宋体" w:cs="Times New Roman"/>
                <w:spacing w:val="4"/>
                <w:kern w:val="0"/>
                <w:sz w:val="24"/>
                <w:szCs w:val="24"/>
                <w:lang w:val="en-US" w:eastAsia="zh-CN" w:bidi="ar-SA"/>
              </w:rPr>
              <w:t>采样3次</w:t>
            </w:r>
            <w:r>
              <w:rPr>
                <w:rFonts w:hint="default" w:ascii="Times New Roman" w:hAnsi="Times New Roman" w:eastAsia="宋体" w:cs="Times New Roman"/>
                <w:spacing w:val="4"/>
                <w:kern w:val="0"/>
                <w:sz w:val="24"/>
                <w:szCs w:val="24"/>
                <w:lang w:val="en-US" w:eastAsia="zh-CN" w:bidi="ar-SA"/>
              </w:rPr>
              <w:t>，连续监测二天</w:t>
            </w:r>
            <w:r>
              <w:rPr>
                <w:rFonts w:hint="eastAsia" w:ascii="Times New Roman" w:hAnsi="Times New Roman" w:eastAsia="宋体" w:cs="Times New Roman"/>
                <w:spacing w:val="4"/>
                <w:kern w:val="0"/>
                <w:sz w:val="24"/>
                <w:szCs w:val="24"/>
                <w:lang w:val="en-US" w:eastAsia="zh-CN" w:bidi="ar-SA"/>
              </w:rPr>
              <w:t>；2#燃</w:t>
            </w:r>
            <w:r>
              <w:rPr>
                <w:rFonts w:hint="eastAsia" w:ascii="Times New Roman" w:hAnsi="Times New Roman" w:cs="Times New Roman"/>
                <w:spacing w:val="4"/>
                <w:kern w:val="0"/>
                <w:sz w:val="24"/>
                <w:szCs w:val="24"/>
                <w:lang w:val="en-US" w:eastAsia="zh-CN" w:bidi="ar-SA"/>
              </w:rPr>
              <w:t>油</w:t>
            </w:r>
            <w:r>
              <w:rPr>
                <w:rFonts w:hint="eastAsia" w:ascii="Times New Roman" w:hAnsi="Times New Roman" w:eastAsia="宋体" w:cs="Times New Roman"/>
                <w:spacing w:val="4"/>
                <w:kern w:val="0"/>
                <w:sz w:val="24"/>
                <w:szCs w:val="24"/>
                <w:lang w:val="en-US" w:eastAsia="zh-CN" w:bidi="ar-SA"/>
              </w:rPr>
              <w:t>锅炉排气筒，</w:t>
            </w:r>
            <w:r>
              <w:rPr>
                <w:rFonts w:hint="default" w:ascii="Times New Roman" w:hAnsi="Times New Roman" w:eastAsia="宋体" w:cs="Times New Roman"/>
                <w:spacing w:val="4"/>
                <w:kern w:val="0"/>
                <w:sz w:val="24"/>
                <w:szCs w:val="24"/>
                <w:lang w:val="en-US" w:eastAsia="zh-CN" w:bidi="ar-SA"/>
              </w:rPr>
              <w:t>项目为颗粒物、氮氧化物、二氧化硫、烟气黑度</w:t>
            </w:r>
            <w:r>
              <w:rPr>
                <w:rFonts w:hint="eastAsia" w:ascii="Times New Roman" w:hAnsi="Times New Roman" w:eastAsia="宋体" w:cs="Times New Roman"/>
                <w:spacing w:val="4"/>
                <w:kern w:val="0"/>
                <w:sz w:val="24"/>
                <w:szCs w:val="24"/>
                <w:lang w:val="en-US" w:eastAsia="zh-CN" w:bidi="ar-SA"/>
              </w:rPr>
              <w:t>，</w:t>
            </w:r>
            <w:r>
              <w:rPr>
                <w:rFonts w:hint="default" w:ascii="Times New Roman" w:hAnsi="Times New Roman" w:eastAsia="宋体" w:cs="Times New Roman"/>
                <w:spacing w:val="4"/>
                <w:kern w:val="0"/>
                <w:sz w:val="24"/>
                <w:szCs w:val="24"/>
                <w:lang w:val="en-US" w:eastAsia="zh-CN" w:bidi="ar-SA"/>
              </w:rPr>
              <w:t>每天</w:t>
            </w:r>
            <w:r>
              <w:rPr>
                <w:rFonts w:hint="eastAsia" w:ascii="Times New Roman" w:hAnsi="Times New Roman" w:eastAsia="宋体" w:cs="Times New Roman"/>
                <w:spacing w:val="4"/>
                <w:kern w:val="0"/>
                <w:sz w:val="24"/>
                <w:szCs w:val="24"/>
                <w:lang w:val="en-US" w:eastAsia="zh-CN" w:bidi="ar-SA"/>
              </w:rPr>
              <w:t>采样3次</w:t>
            </w:r>
            <w:r>
              <w:rPr>
                <w:rFonts w:hint="default" w:ascii="Times New Roman" w:hAnsi="Times New Roman" w:eastAsia="宋体" w:cs="Times New Roman"/>
                <w:spacing w:val="4"/>
                <w:kern w:val="0"/>
                <w:sz w:val="24"/>
                <w:szCs w:val="24"/>
                <w:lang w:val="en-US" w:eastAsia="zh-CN" w:bidi="ar-SA"/>
              </w:rPr>
              <w:t>，连续监测二天</w:t>
            </w:r>
            <w:r>
              <w:rPr>
                <w:rFonts w:hint="eastAsia" w:ascii="Times New Roman" w:hAnsi="Times New Roman" w:eastAsia="宋体" w:cs="Times New Roman"/>
                <w:spacing w:val="4"/>
                <w:kern w:val="0"/>
                <w:sz w:val="24"/>
                <w:szCs w:val="24"/>
                <w:lang w:val="en-US" w:eastAsia="zh-CN" w:bidi="ar-SA"/>
              </w:rPr>
              <w:t>，</w:t>
            </w:r>
            <w:r>
              <w:rPr>
                <w:rFonts w:hint="eastAsia" w:ascii="Times New Roman" w:hAnsi="Times New Roman" w:eastAsia="宋体" w:cs="Times New Roman"/>
                <w:spacing w:val="4"/>
                <w:sz w:val="24"/>
                <w:szCs w:val="24"/>
                <w:lang w:val="en-US" w:eastAsia="zh-CN"/>
              </w:rPr>
              <w:t>检测</w:t>
            </w:r>
            <w:r>
              <w:rPr>
                <w:rFonts w:hint="eastAsia" w:ascii="Times New Roman" w:hAnsi="Times New Roman" w:cs="Times New Roman"/>
                <w:spacing w:val="4"/>
                <w:sz w:val="24"/>
                <w:szCs w:val="24"/>
                <w:lang w:val="en-US" w:eastAsia="zh-CN"/>
              </w:rPr>
              <w:t>结果</w:t>
            </w:r>
            <w:r>
              <w:rPr>
                <w:rFonts w:hint="default" w:ascii="Times New Roman" w:hAnsi="Times New Roman" w:cs="Times New Roman"/>
                <w:spacing w:val="4"/>
                <w:sz w:val="24"/>
                <w:szCs w:val="24"/>
                <w:lang w:eastAsia="zh-CN"/>
              </w:rPr>
              <w:t>详见表</w:t>
            </w:r>
            <w:r>
              <w:rPr>
                <w:rFonts w:hint="eastAsia" w:ascii="Times New Roman" w:hAnsi="Times New Roman" w:cs="Times New Roman"/>
                <w:spacing w:val="4"/>
                <w:sz w:val="24"/>
                <w:szCs w:val="24"/>
                <w:lang w:val="en-US" w:eastAsia="zh-CN"/>
              </w:rPr>
              <w:t>7-5，7-6</w:t>
            </w:r>
            <w:r>
              <w:rPr>
                <w:rFonts w:hint="default" w:ascii="Times New Roman" w:hAnsi="Times New Roman" w:cs="Times New Roman"/>
                <w:spacing w:val="4"/>
                <w:sz w:val="24"/>
                <w:szCs w:val="24"/>
                <w:lang w:val="en-US" w:eastAsia="zh-CN"/>
              </w:rPr>
              <w:t>。</w:t>
            </w:r>
          </w:p>
          <w:p w14:paraId="7DAB8BD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b/>
                <w:color w:val="auto"/>
                <w:sz w:val="24"/>
                <w:szCs w:val="24"/>
              </w:rPr>
            </w:pPr>
          </w:p>
          <w:p w14:paraId="6053F66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b/>
                <w:color w:val="auto"/>
                <w:sz w:val="24"/>
                <w:szCs w:val="24"/>
              </w:rPr>
            </w:pPr>
          </w:p>
          <w:p w14:paraId="50A64C6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b/>
                <w:color w:val="auto"/>
                <w:sz w:val="24"/>
                <w:szCs w:val="24"/>
              </w:rPr>
            </w:pPr>
          </w:p>
          <w:p w14:paraId="7F25AF1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cs="Times New Roman"/>
                <w:b/>
                <w:bCs/>
                <w:color w:val="auto"/>
                <w:sz w:val="24"/>
                <w:szCs w:val="24"/>
              </w:rPr>
            </w:pPr>
            <w:r>
              <w:rPr>
                <w:rFonts w:hint="eastAsia" w:ascii="Times New Roman" w:hAnsi="Times New Roman"/>
                <w:b/>
                <w:color w:val="auto"/>
                <w:sz w:val="24"/>
                <w:szCs w:val="24"/>
              </w:rPr>
              <w:t>表</w:t>
            </w:r>
            <w:r>
              <w:rPr>
                <w:rFonts w:hint="eastAsia" w:ascii="Times New Roman" w:hAnsi="Times New Roman"/>
                <w:b/>
                <w:color w:val="auto"/>
                <w:sz w:val="24"/>
                <w:szCs w:val="24"/>
                <w:lang w:val="en-US" w:eastAsia="zh-CN"/>
              </w:rPr>
              <w:t xml:space="preserve">7-5  </w:t>
            </w:r>
            <w:r>
              <w:rPr>
                <w:rFonts w:hint="eastAsia" w:ascii="Times New Roman" w:hAnsi="Times New Roman" w:eastAsia="宋体" w:cs="Times New Roman"/>
                <w:b/>
                <w:color w:val="auto"/>
                <w:sz w:val="24"/>
                <w:szCs w:val="24"/>
                <w:lang w:val="en-US" w:eastAsia="zh-CN"/>
              </w:rPr>
              <w:t>有组织废气（1#除臭废气排气筒出口）</w:t>
            </w:r>
            <w:r>
              <w:rPr>
                <w:rFonts w:hint="eastAsia" w:ascii="Times New Roman" w:hAnsi="Times New Roman" w:eastAsia="宋体" w:cs="Times New Roman"/>
                <w:b/>
                <w:color w:val="auto"/>
                <w:sz w:val="24"/>
                <w:szCs w:val="24"/>
                <w:lang w:eastAsia="zh-CN"/>
              </w:rPr>
              <w:t>检测</w:t>
            </w:r>
            <w:r>
              <w:rPr>
                <w:rFonts w:hint="eastAsia" w:ascii="Times New Roman" w:hAnsi="Times New Roman" w:eastAsia="宋体" w:cs="Times New Roman"/>
                <w:b/>
                <w:color w:val="auto"/>
                <w:sz w:val="24"/>
                <w:szCs w:val="24"/>
              </w:rPr>
              <w:t>结果</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1295"/>
              <w:gridCol w:w="1295"/>
              <w:gridCol w:w="1295"/>
              <w:gridCol w:w="1295"/>
              <w:gridCol w:w="1295"/>
              <w:gridCol w:w="1301"/>
            </w:tblGrid>
            <w:tr w14:paraId="7B9164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tblHeader/>
                <w:jc w:val="center"/>
              </w:trPr>
              <w:tc>
                <w:tcPr>
                  <w:tcW w:w="1295" w:type="dxa"/>
                  <w:tcBorders>
                    <w:tl2br w:val="nil"/>
                    <w:tr2bl w:val="nil"/>
                  </w:tcBorders>
                  <w:noWrap w:val="0"/>
                  <w:vAlign w:val="center"/>
                </w:tcPr>
                <w:p w14:paraId="66B14FDF">
                  <w:pPr>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采样日期</w:t>
                  </w:r>
                </w:p>
              </w:tc>
              <w:tc>
                <w:tcPr>
                  <w:tcW w:w="1295" w:type="dxa"/>
                  <w:tcBorders>
                    <w:tl2br w:val="nil"/>
                    <w:tr2bl w:val="nil"/>
                  </w:tcBorders>
                  <w:noWrap w:val="0"/>
                  <w:vAlign w:val="center"/>
                </w:tcPr>
                <w:p w14:paraId="3D3819C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检测点位</w:t>
                  </w:r>
                </w:p>
              </w:tc>
              <w:tc>
                <w:tcPr>
                  <w:tcW w:w="1295" w:type="dxa"/>
                  <w:tcBorders>
                    <w:tl2br w:val="nil"/>
                    <w:tr2bl w:val="nil"/>
                  </w:tcBorders>
                  <w:noWrap w:val="0"/>
                  <w:vAlign w:val="center"/>
                </w:tcPr>
                <w:p w14:paraId="028A55C9">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项目</w:t>
                  </w:r>
                </w:p>
              </w:tc>
              <w:tc>
                <w:tcPr>
                  <w:tcW w:w="1295" w:type="dxa"/>
                  <w:tcBorders>
                    <w:tl2br w:val="nil"/>
                    <w:tr2bl w:val="nil"/>
                  </w:tcBorders>
                  <w:noWrap w:val="0"/>
                  <w:vAlign w:val="center"/>
                </w:tcPr>
                <w:p w14:paraId="57C0199E">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频次</w:t>
                  </w:r>
                </w:p>
              </w:tc>
              <w:tc>
                <w:tcPr>
                  <w:tcW w:w="1295" w:type="dxa"/>
                  <w:tcBorders>
                    <w:tl2br w:val="nil"/>
                    <w:tr2bl w:val="nil"/>
                  </w:tcBorders>
                  <w:noWrap w:val="0"/>
                  <w:vAlign w:val="center"/>
                </w:tcPr>
                <w:p w14:paraId="41E6F3CD">
                  <w:pPr>
                    <w:spacing w:line="240" w:lineRule="auto"/>
                    <w:ind w:left="-107" w:leftChars="-51" w:firstLine="94" w:firstLineChars="45"/>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标况风量</w:t>
                  </w:r>
                </w:p>
                <w:p w14:paraId="1E507F94">
                  <w:pPr>
                    <w:spacing w:line="240" w:lineRule="auto"/>
                    <w:ind w:left="-107" w:leftChars="-51" w:firstLine="94" w:firstLineChars="45"/>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h</w:t>
                  </w:r>
                  <w:r>
                    <w:rPr>
                      <w:rFonts w:hint="default" w:ascii="Times New Roman" w:hAnsi="Times New Roman" w:eastAsia="宋体" w:cs="Times New Roman"/>
                      <w:color w:val="auto"/>
                      <w:sz w:val="21"/>
                      <w:szCs w:val="21"/>
                      <w:lang w:eastAsia="zh-CN"/>
                    </w:rPr>
                    <w:t>）</w:t>
                  </w:r>
                </w:p>
              </w:tc>
              <w:tc>
                <w:tcPr>
                  <w:tcW w:w="1295" w:type="dxa"/>
                  <w:tcBorders>
                    <w:tl2br w:val="nil"/>
                    <w:tr2bl w:val="nil"/>
                  </w:tcBorders>
                  <w:noWrap w:val="0"/>
                  <w:vAlign w:val="center"/>
                </w:tcPr>
                <w:p w14:paraId="7B3378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排放浓</w:t>
                  </w:r>
                  <w:r>
                    <w:rPr>
                      <w:rFonts w:hint="eastAsia" w:ascii="Times New Roman" w:hAnsi="Times New Roman" w:cs="Times New Roman"/>
                      <w:color w:val="auto"/>
                      <w:sz w:val="21"/>
                      <w:szCs w:val="21"/>
                      <w:lang w:val="en-US" w:eastAsia="zh-CN"/>
                    </w:rPr>
                    <w:t>度</w:t>
                  </w:r>
                </w:p>
                <w:p w14:paraId="20AD9C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mg/m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lang w:val="en-US" w:eastAsia="zh-CN"/>
                    </w:rPr>
                    <w:t>）</w:t>
                  </w:r>
                </w:p>
              </w:tc>
              <w:tc>
                <w:tcPr>
                  <w:tcW w:w="1301" w:type="dxa"/>
                  <w:tcBorders>
                    <w:tl2br w:val="nil"/>
                    <w:tr2bl w:val="nil"/>
                  </w:tcBorders>
                  <w:noWrap w:val="0"/>
                  <w:vAlign w:val="center"/>
                </w:tcPr>
                <w:p w14:paraId="4230D8F8">
                  <w:pPr>
                    <w:spacing w:line="240" w:lineRule="auto"/>
                    <w:ind w:left="-107" w:leftChars="-51" w:firstLine="94" w:firstLineChars="45"/>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排放速率</w:t>
                  </w:r>
                </w:p>
                <w:p w14:paraId="663D68AB">
                  <w:pPr>
                    <w:spacing w:line="240" w:lineRule="auto"/>
                    <w:ind w:left="-107" w:leftChars="-51" w:firstLine="94" w:firstLineChars="4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kg/h</w:t>
                  </w:r>
                  <w:r>
                    <w:rPr>
                      <w:rFonts w:hint="default" w:ascii="Times New Roman" w:hAnsi="Times New Roman" w:cs="Times New Roman"/>
                      <w:color w:val="auto"/>
                      <w:sz w:val="21"/>
                      <w:szCs w:val="21"/>
                      <w:lang w:eastAsia="zh-CN"/>
                    </w:rPr>
                    <w:t>）</w:t>
                  </w:r>
                </w:p>
              </w:tc>
            </w:tr>
            <w:tr w14:paraId="3731A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restart"/>
                  <w:tcBorders>
                    <w:tl2br w:val="nil"/>
                    <w:tr2bl w:val="nil"/>
                  </w:tcBorders>
                  <w:noWrap w:val="0"/>
                  <w:vAlign w:val="center"/>
                </w:tcPr>
                <w:p w14:paraId="56474BD9">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w:t>
                  </w:r>
                </w:p>
                <w:p w14:paraId="021ACAD5">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月</w:t>
                  </w:r>
                </w:p>
                <w:p w14:paraId="5EA06671">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1</w:t>
                  </w:r>
                </w:p>
                <w:p w14:paraId="78D156BE">
                  <w:pPr>
                    <w:snapToGrid w:val="0"/>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12"/>
                      <w:sz w:val="21"/>
                      <w:szCs w:val="21"/>
                      <w:lang w:val="en-US" w:eastAsia="zh-CN"/>
                    </w:rPr>
                    <w:t>日</w:t>
                  </w:r>
                </w:p>
                <w:p w14:paraId="7CC1EDBC">
                  <w:pPr>
                    <w:adjustRightInd w:val="0"/>
                    <w:snapToGrid w:val="0"/>
                    <w:spacing w:line="240" w:lineRule="auto"/>
                    <w:jc w:val="center"/>
                    <w:rPr>
                      <w:rFonts w:hint="eastAsia" w:cs="Times New Roman"/>
                      <w:color w:val="auto"/>
                      <w:sz w:val="21"/>
                      <w:szCs w:val="21"/>
                      <w:highlight w:val="none"/>
                      <w:lang w:val="en-US" w:eastAsia="zh-CN"/>
                    </w:rPr>
                  </w:pPr>
                </w:p>
              </w:tc>
              <w:tc>
                <w:tcPr>
                  <w:tcW w:w="1295" w:type="dxa"/>
                  <w:vMerge w:val="restart"/>
                  <w:tcBorders>
                    <w:tl2br w:val="nil"/>
                    <w:tr2bl w:val="nil"/>
                  </w:tcBorders>
                  <w:noWrap w:val="0"/>
                  <w:vAlign w:val="center"/>
                </w:tcPr>
                <w:p w14:paraId="3F1A2C58">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1#除臭废气排气筒出口</w:t>
                  </w:r>
                </w:p>
              </w:tc>
              <w:tc>
                <w:tcPr>
                  <w:tcW w:w="1295" w:type="dxa"/>
                  <w:vMerge w:val="restart"/>
                  <w:tcBorders>
                    <w:tl2br w:val="nil"/>
                    <w:tr2bl w:val="nil"/>
                  </w:tcBorders>
                  <w:noWrap w:val="0"/>
                  <w:tcMar>
                    <w:left w:w="0" w:type="dxa"/>
                    <w:right w:w="0" w:type="dxa"/>
                  </w:tcMar>
                  <w:vAlign w:val="center"/>
                </w:tcPr>
                <w:p w14:paraId="3E211A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lang w:val="en-US" w:eastAsia="zh-CN"/>
                    </w:rPr>
                  </w:pPr>
                  <w:r>
                    <w:rPr>
                      <w:rFonts w:hint="eastAsia" w:ascii="Times New Roman" w:hAnsi="Times New Roman"/>
                      <w:color w:val="000000"/>
                      <w:sz w:val="21"/>
                      <w:szCs w:val="21"/>
                      <w:lang w:val="en-US" w:eastAsia="zh-CN"/>
                    </w:rPr>
                    <w:t>硫化氢</w:t>
                  </w:r>
                </w:p>
              </w:tc>
              <w:tc>
                <w:tcPr>
                  <w:tcW w:w="1295" w:type="dxa"/>
                  <w:tcBorders>
                    <w:tl2br w:val="nil"/>
                    <w:tr2bl w:val="nil"/>
                  </w:tcBorders>
                  <w:noWrap w:val="0"/>
                  <w:tcMar>
                    <w:left w:w="0" w:type="dxa"/>
                    <w:right w:w="0" w:type="dxa"/>
                  </w:tcMar>
                  <w:vAlign w:val="center"/>
                </w:tcPr>
                <w:p w14:paraId="5096F01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34361F9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8198</w:t>
                  </w:r>
                </w:p>
              </w:tc>
              <w:tc>
                <w:tcPr>
                  <w:tcW w:w="1295" w:type="dxa"/>
                  <w:tcBorders>
                    <w:tl2br w:val="nil"/>
                    <w:tr2bl w:val="nil"/>
                  </w:tcBorders>
                  <w:noWrap w:val="0"/>
                  <w:tcMar>
                    <w:left w:w="0" w:type="dxa"/>
                    <w:right w:w="0" w:type="dxa"/>
                  </w:tcMar>
                  <w:vAlign w:val="center"/>
                </w:tcPr>
                <w:p w14:paraId="42A8B29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0.228</w:t>
                  </w:r>
                </w:p>
              </w:tc>
              <w:tc>
                <w:tcPr>
                  <w:tcW w:w="1301" w:type="dxa"/>
                  <w:vMerge w:val="restart"/>
                  <w:tcBorders>
                    <w:tl2br w:val="nil"/>
                    <w:tr2bl w:val="nil"/>
                  </w:tcBorders>
                  <w:noWrap w:val="0"/>
                  <w:tcMar>
                    <w:left w:w="0" w:type="dxa"/>
                    <w:right w:w="0" w:type="dxa"/>
                  </w:tcMar>
                  <w:vAlign w:val="center"/>
                </w:tcPr>
                <w:p w14:paraId="320344A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1.7</w:t>
                  </w:r>
                  <w:r>
                    <w:rPr>
                      <w:rFonts w:hint="default" w:ascii="Times New Roman" w:hAnsi="Times New Roman" w:eastAsia="宋体" w:cs="Times New Roman"/>
                      <w:i w:val="0"/>
                      <w:color w:val="auto"/>
                      <w:kern w:val="0"/>
                      <w:sz w:val="21"/>
                      <w:szCs w:val="21"/>
                      <w:u w:val="none"/>
                      <w:lang w:val="en-US" w:eastAsia="zh-CN" w:bidi="ar"/>
                    </w:rPr>
                    <w:t>×10</w:t>
                  </w:r>
                  <w:r>
                    <w:rPr>
                      <w:rFonts w:hint="eastAsia" w:ascii="Times New Roman" w:hAnsi="Times New Roman" w:eastAsia="宋体" w:cs="Times New Roman"/>
                      <w:i w:val="0"/>
                      <w:color w:val="auto"/>
                      <w:kern w:val="0"/>
                      <w:sz w:val="21"/>
                      <w:szCs w:val="21"/>
                      <w:u w:val="none"/>
                      <w:vertAlign w:val="superscript"/>
                      <w:lang w:val="en-US" w:eastAsia="zh-CN" w:bidi="ar"/>
                    </w:rPr>
                    <w:t>-3</w:t>
                  </w:r>
                </w:p>
              </w:tc>
            </w:tr>
            <w:tr w14:paraId="579281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48D6C793">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76467AD8">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3F1C230A">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1B005F42">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194AFCD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8184</w:t>
                  </w:r>
                </w:p>
              </w:tc>
              <w:tc>
                <w:tcPr>
                  <w:tcW w:w="1295" w:type="dxa"/>
                  <w:tcBorders>
                    <w:tl2br w:val="nil"/>
                    <w:tr2bl w:val="nil"/>
                  </w:tcBorders>
                  <w:noWrap w:val="0"/>
                  <w:tcMar>
                    <w:left w:w="0" w:type="dxa"/>
                    <w:right w:w="0" w:type="dxa"/>
                  </w:tcMar>
                  <w:vAlign w:val="center"/>
                </w:tcPr>
                <w:p w14:paraId="4E8ADCD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0.203</w:t>
                  </w:r>
                </w:p>
              </w:tc>
              <w:tc>
                <w:tcPr>
                  <w:tcW w:w="1301" w:type="dxa"/>
                  <w:vMerge w:val="continue"/>
                  <w:tcBorders>
                    <w:tl2br w:val="nil"/>
                    <w:tr2bl w:val="nil"/>
                  </w:tcBorders>
                  <w:noWrap w:val="0"/>
                  <w:tcMar>
                    <w:left w:w="0" w:type="dxa"/>
                    <w:right w:w="0" w:type="dxa"/>
                  </w:tcMar>
                  <w:vAlign w:val="center"/>
                </w:tcPr>
                <w:p w14:paraId="6E78DB8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00CC66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6EBC589D">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5EAF3CEF">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4B41B273">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694AC346">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0364C3E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8169</w:t>
                  </w:r>
                </w:p>
              </w:tc>
              <w:tc>
                <w:tcPr>
                  <w:tcW w:w="1295" w:type="dxa"/>
                  <w:tcBorders>
                    <w:tl2br w:val="nil"/>
                    <w:tr2bl w:val="nil"/>
                  </w:tcBorders>
                  <w:noWrap w:val="0"/>
                  <w:tcMar>
                    <w:left w:w="0" w:type="dxa"/>
                    <w:right w:w="0" w:type="dxa"/>
                  </w:tcMar>
                  <w:vAlign w:val="center"/>
                </w:tcPr>
                <w:p w14:paraId="3504FEB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0.184</w:t>
                  </w:r>
                </w:p>
              </w:tc>
              <w:tc>
                <w:tcPr>
                  <w:tcW w:w="1301" w:type="dxa"/>
                  <w:vMerge w:val="continue"/>
                  <w:tcBorders>
                    <w:tl2br w:val="nil"/>
                    <w:tr2bl w:val="nil"/>
                  </w:tcBorders>
                  <w:noWrap w:val="0"/>
                  <w:tcMar>
                    <w:left w:w="0" w:type="dxa"/>
                    <w:right w:w="0" w:type="dxa"/>
                  </w:tcMar>
                  <w:vAlign w:val="center"/>
                </w:tcPr>
                <w:p w14:paraId="4327BE8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608E94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41F96CAA">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59C1166C">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26731DB7">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5075892C">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6E9EFFF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average(E2:E4)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818</w:t>
                  </w:r>
                  <w:r>
                    <w:rPr>
                      <w:rFonts w:hint="eastAsia" w:ascii="Times New Roman" w:hAnsi="Times New Roman" w:eastAsia="宋体" w:cs="Times New Roman"/>
                      <w:i w:val="0"/>
                      <w:color w:val="auto"/>
                      <w:kern w:val="0"/>
                      <w:sz w:val="21"/>
                      <w:szCs w:val="21"/>
                      <w:u w:val="none"/>
                      <w:lang w:val="en-US" w:eastAsia="zh-CN" w:bidi="ar"/>
                    </w:rPr>
                    <w:t>4</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95" w:type="dxa"/>
                  <w:tcBorders>
                    <w:tl2br w:val="nil"/>
                    <w:tr2bl w:val="nil"/>
                  </w:tcBorders>
                  <w:noWrap w:val="0"/>
                  <w:tcMar>
                    <w:left w:w="0" w:type="dxa"/>
                    <w:right w:w="0" w:type="dxa"/>
                  </w:tcMar>
                  <w:vAlign w:val="center"/>
                </w:tcPr>
                <w:p w14:paraId="68B6355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average(F2:F4)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0.205</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7FBB89D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60AF5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12D3C8DE">
                  <w:pPr>
                    <w:adjustRightInd w:val="0"/>
                    <w:snapToGrid w:val="0"/>
                    <w:spacing w:line="240" w:lineRule="auto"/>
                    <w:jc w:val="center"/>
                    <w:rPr>
                      <w:rFonts w:hint="eastAsia" w:cs="Times New Roman"/>
                      <w:color w:val="auto"/>
                      <w:sz w:val="21"/>
                      <w:szCs w:val="21"/>
                      <w:highlight w:val="none"/>
                      <w:lang w:val="en-US" w:eastAsia="zh-CN"/>
                    </w:rPr>
                  </w:pPr>
                </w:p>
              </w:tc>
              <w:tc>
                <w:tcPr>
                  <w:tcW w:w="1295" w:type="dxa"/>
                  <w:vMerge w:val="continue"/>
                  <w:tcBorders>
                    <w:tl2br w:val="nil"/>
                    <w:tr2bl w:val="nil"/>
                  </w:tcBorders>
                  <w:noWrap w:val="0"/>
                  <w:vAlign w:val="center"/>
                </w:tcPr>
                <w:p w14:paraId="55A73280">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restart"/>
                  <w:tcBorders>
                    <w:tl2br w:val="nil"/>
                    <w:tr2bl w:val="nil"/>
                  </w:tcBorders>
                  <w:noWrap w:val="0"/>
                  <w:tcMar>
                    <w:left w:w="0" w:type="dxa"/>
                    <w:right w:w="0" w:type="dxa"/>
                  </w:tcMar>
                  <w:vAlign w:val="center"/>
                </w:tcPr>
                <w:p w14:paraId="48BE975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rPr>
                  </w:pPr>
                  <w:r>
                    <w:rPr>
                      <w:rFonts w:hint="eastAsia" w:eastAsia="宋体"/>
                      <w:b w:val="0"/>
                      <w:bCs/>
                      <w:color w:val="000000"/>
                      <w:sz w:val="21"/>
                      <w:szCs w:val="21"/>
                      <w:vertAlign w:val="baseline"/>
                      <w:lang w:val="en-US" w:eastAsia="zh-CN"/>
                    </w:rPr>
                    <w:t>氨</w:t>
                  </w:r>
                </w:p>
              </w:tc>
              <w:tc>
                <w:tcPr>
                  <w:tcW w:w="1295" w:type="dxa"/>
                  <w:tcBorders>
                    <w:tl2br w:val="nil"/>
                    <w:tr2bl w:val="nil"/>
                  </w:tcBorders>
                  <w:noWrap w:val="0"/>
                  <w:tcMar>
                    <w:left w:w="0" w:type="dxa"/>
                    <w:right w:w="0" w:type="dxa"/>
                  </w:tcMar>
                  <w:vAlign w:val="center"/>
                </w:tcPr>
                <w:p w14:paraId="0B8A2580">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4A913E6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8198</w:t>
                  </w:r>
                </w:p>
              </w:tc>
              <w:tc>
                <w:tcPr>
                  <w:tcW w:w="1295" w:type="dxa"/>
                  <w:tcBorders>
                    <w:tl2br w:val="nil"/>
                    <w:tr2bl w:val="nil"/>
                  </w:tcBorders>
                  <w:noWrap w:val="0"/>
                  <w:tcMar>
                    <w:left w:w="0" w:type="dxa"/>
                    <w:right w:w="0" w:type="dxa"/>
                  </w:tcMar>
                  <w:vAlign w:val="center"/>
                </w:tcPr>
                <w:p w14:paraId="6CB7606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w:t>
                  </w:r>
                </w:p>
              </w:tc>
              <w:tc>
                <w:tcPr>
                  <w:tcW w:w="1301" w:type="dxa"/>
                  <w:vMerge w:val="restart"/>
                  <w:tcBorders>
                    <w:tl2br w:val="nil"/>
                    <w:tr2bl w:val="nil"/>
                  </w:tcBorders>
                  <w:noWrap w:val="0"/>
                  <w:tcMar>
                    <w:left w:w="0" w:type="dxa"/>
                    <w:right w:w="0" w:type="dxa"/>
                  </w:tcMar>
                  <w:vAlign w:val="center"/>
                </w:tcPr>
                <w:p w14:paraId="40F504E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7.0</w:t>
                  </w:r>
                  <w:r>
                    <w:rPr>
                      <w:rFonts w:hint="default" w:ascii="Times New Roman" w:hAnsi="Times New Roman" w:eastAsia="宋体" w:cs="Times New Roman"/>
                      <w:i w:val="0"/>
                      <w:color w:val="auto"/>
                      <w:kern w:val="0"/>
                      <w:sz w:val="21"/>
                      <w:szCs w:val="21"/>
                      <w:u w:val="none"/>
                      <w:lang w:val="en-US" w:eastAsia="zh-CN" w:bidi="ar"/>
                    </w:rPr>
                    <w:t>×10</w:t>
                  </w:r>
                  <w:r>
                    <w:rPr>
                      <w:rFonts w:hint="eastAsia" w:ascii="Times New Roman" w:hAnsi="Times New Roman" w:eastAsia="宋体" w:cs="Times New Roman"/>
                      <w:i w:val="0"/>
                      <w:color w:val="auto"/>
                      <w:kern w:val="0"/>
                      <w:sz w:val="21"/>
                      <w:szCs w:val="21"/>
                      <w:u w:val="none"/>
                      <w:vertAlign w:val="superscript"/>
                      <w:lang w:val="en-US" w:eastAsia="zh-CN" w:bidi="ar"/>
                    </w:rPr>
                    <w:t>-2</w:t>
                  </w:r>
                </w:p>
              </w:tc>
            </w:tr>
            <w:tr w14:paraId="49A893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584A38E3">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6110E1FC">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1A65B45D">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00370C2B">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17626C2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8184</w:t>
                  </w:r>
                </w:p>
              </w:tc>
              <w:tc>
                <w:tcPr>
                  <w:tcW w:w="1295" w:type="dxa"/>
                  <w:tcBorders>
                    <w:tl2br w:val="nil"/>
                    <w:tr2bl w:val="nil"/>
                  </w:tcBorders>
                  <w:noWrap w:val="0"/>
                  <w:tcMar>
                    <w:left w:w="0" w:type="dxa"/>
                    <w:right w:w="0" w:type="dxa"/>
                  </w:tcMar>
                  <w:vAlign w:val="center"/>
                </w:tcPr>
                <w:p w14:paraId="5148C7A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9.0</w:t>
                  </w:r>
                </w:p>
              </w:tc>
              <w:tc>
                <w:tcPr>
                  <w:tcW w:w="1301" w:type="dxa"/>
                  <w:vMerge w:val="continue"/>
                  <w:tcBorders>
                    <w:tl2br w:val="nil"/>
                    <w:tr2bl w:val="nil"/>
                  </w:tcBorders>
                  <w:noWrap w:val="0"/>
                  <w:tcMar>
                    <w:left w:w="0" w:type="dxa"/>
                    <w:right w:w="0" w:type="dxa"/>
                  </w:tcMar>
                  <w:vAlign w:val="center"/>
                </w:tcPr>
                <w:p w14:paraId="2D3C999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0743B9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0240F7A6">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1295" w:type="dxa"/>
                  <w:vMerge w:val="continue"/>
                  <w:tcBorders>
                    <w:tl2br w:val="nil"/>
                    <w:tr2bl w:val="nil"/>
                  </w:tcBorders>
                  <w:noWrap w:val="0"/>
                  <w:vAlign w:val="center"/>
                </w:tcPr>
                <w:p w14:paraId="090D7392">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1295" w:type="dxa"/>
                  <w:vMerge w:val="continue"/>
                  <w:tcBorders>
                    <w:tl2br w:val="nil"/>
                    <w:tr2bl w:val="nil"/>
                  </w:tcBorders>
                  <w:noWrap w:val="0"/>
                  <w:tcMar>
                    <w:left w:w="0" w:type="dxa"/>
                    <w:right w:w="0" w:type="dxa"/>
                  </w:tcMar>
                  <w:vAlign w:val="center"/>
                </w:tcPr>
                <w:p w14:paraId="47E5B69D">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72EFFBD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1E8694D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8169</w:t>
                  </w:r>
                </w:p>
              </w:tc>
              <w:tc>
                <w:tcPr>
                  <w:tcW w:w="1295" w:type="dxa"/>
                  <w:tcBorders>
                    <w:tl2br w:val="nil"/>
                    <w:tr2bl w:val="nil"/>
                  </w:tcBorders>
                  <w:noWrap w:val="0"/>
                  <w:tcMar>
                    <w:left w:w="0" w:type="dxa"/>
                    <w:right w:w="0" w:type="dxa"/>
                  </w:tcMar>
                  <w:vAlign w:val="center"/>
                </w:tcPr>
                <w:p w14:paraId="5325673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8.6</w:t>
                  </w:r>
                </w:p>
              </w:tc>
              <w:tc>
                <w:tcPr>
                  <w:tcW w:w="1301" w:type="dxa"/>
                  <w:vMerge w:val="continue"/>
                  <w:tcBorders>
                    <w:tl2br w:val="nil"/>
                    <w:tr2bl w:val="nil"/>
                  </w:tcBorders>
                  <w:noWrap w:val="0"/>
                  <w:tcMar>
                    <w:left w:w="0" w:type="dxa"/>
                    <w:right w:w="0" w:type="dxa"/>
                  </w:tcMar>
                  <w:vAlign w:val="center"/>
                </w:tcPr>
                <w:p w14:paraId="0DC7D14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11403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57FA171F">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43C63277">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36D845B6">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68064CEB">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45568C4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average(E2:E4)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818</w:t>
                  </w:r>
                  <w:r>
                    <w:rPr>
                      <w:rFonts w:hint="eastAsia" w:ascii="Times New Roman" w:hAnsi="Times New Roman" w:eastAsia="宋体" w:cs="Times New Roman"/>
                      <w:i w:val="0"/>
                      <w:color w:val="auto"/>
                      <w:kern w:val="0"/>
                      <w:sz w:val="21"/>
                      <w:szCs w:val="21"/>
                      <w:u w:val="none"/>
                      <w:lang w:val="en-US" w:eastAsia="zh-CN" w:bidi="ar"/>
                    </w:rPr>
                    <w:t>4</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95" w:type="dxa"/>
                  <w:tcBorders>
                    <w:tl2br w:val="nil"/>
                    <w:tr2bl w:val="nil"/>
                  </w:tcBorders>
                  <w:noWrap w:val="0"/>
                  <w:tcMar>
                    <w:left w:w="0" w:type="dxa"/>
                    <w:right w:w="0" w:type="dxa"/>
                  </w:tcMar>
                  <w:vAlign w:val="center"/>
                </w:tcPr>
                <w:p w14:paraId="23EE87D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average(F6:F8)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8.</w:t>
                  </w:r>
                  <w:r>
                    <w:rPr>
                      <w:rFonts w:hint="eastAsia" w:ascii="Times New Roman" w:hAnsi="Times New Roman" w:eastAsia="宋体" w:cs="Times New Roman"/>
                      <w:i w:val="0"/>
                      <w:color w:val="auto"/>
                      <w:kern w:val="0"/>
                      <w:sz w:val="21"/>
                      <w:szCs w:val="21"/>
                      <w:u w:val="none"/>
                      <w:lang w:val="en-US" w:eastAsia="zh-CN" w:bidi="ar"/>
                    </w:rPr>
                    <w:t>6</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71BF488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37C34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4A841401">
                  <w:pPr>
                    <w:adjustRightInd w:val="0"/>
                    <w:snapToGrid w:val="0"/>
                    <w:spacing w:line="240" w:lineRule="auto"/>
                    <w:jc w:val="center"/>
                    <w:rPr>
                      <w:rFonts w:hint="eastAsia" w:ascii="Times New Roman" w:hAnsi="Times New Roman" w:cs="Times New Roman"/>
                      <w:color w:val="auto"/>
                      <w:sz w:val="21"/>
                      <w:szCs w:val="21"/>
                      <w:highlight w:val="none"/>
                      <w:lang w:val="en-US" w:eastAsia="zh-CN"/>
                    </w:rPr>
                  </w:pPr>
                </w:p>
              </w:tc>
              <w:tc>
                <w:tcPr>
                  <w:tcW w:w="1295" w:type="dxa"/>
                  <w:vMerge w:val="continue"/>
                  <w:tcBorders>
                    <w:tl2br w:val="nil"/>
                    <w:tr2bl w:val="nil"/>
                  </w:tcBorders>
                  <w:noWrap w:val="0"/>
                  <w:vAlign w:val="center"/>
                </w:tcPr>
                <w:p w14:paraId="1A45490C">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restart"/>
                  <w:tcBorders>
                    <w:tl2br w:val="nil"/>
                    <w:tr2bl w:val="nil"/>
                  </w:tcBorders>
                  <w:noWrap w:val="0"/>
                  <w:tcMar>
                    <w:left w:w="0" w:type="dxa"/>
                    <w:right w:w="0" w:type="dxa"/>
                  </w:tcMar>
                  <w:vAlign w:val="center"/>
                </w:tcPr>
                <w:p w14:paraId="4F272B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val="0"/>
                      <w:bCs/>
                      <w:color w:val="000000"/>
                      <w:sz w:val="21"/>
                      <w:szCs w:val="21"/>
                      <w:vertAlign w:val="baseline"/>
                      <w:lang w:val="en-US" w:eastAsia="zh-CN"/>
                    </w:rPr>
                  </w:pPr>
                  <w:r>
                    <w:rPr>
                      <w:rFonts w:hint="eastAsia"/>
                      <w:b w:val="0"/>
                      <w:bCs/>
                      <w:color w:val="000000"/>
                      <w:sz w:val="21"/>
                      <w:szCs w:val="21"/>
                      <w:vertAlign w:val="baseline"/>
                      <w:lang w:val="en-US" w:eastAsia="zh-CN"/>
                    </w:rPr>
                    <w:t>臭气浓度</w:t>
                  </w:r>
                </w:p>
                <w:p w14:paraId="7DA9A2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lang w:val="en-US" w:eastAsia="zh-CN"/>
                    </w:rPr>
                  </w:pPr>
                  <w:r>
                    <w:rPr>
                      <w:rFonts w:hint="eastAsia"/>
                      <w:b w:val="0"/>
                      <w:bCs/>
                      <w:color w:val="000000"/>
                      <w:sz w:val="21"/>
                      <w:szCs w:val="21"/>
                      <w:vertAlign w:val="baseline"/>
                      <w:lang w:val="en-US" w:eastAsia="zh-CN"/>
                    </w:rPr>
                    <w:t>（无量纲）</w:t>
                  </w:r>
                </w:p>
              </w:tc>
              <w:tc>
                <w:tcPr>
                  <w:tcW w:w="1295" w:type="dxa"/>
                  <w:tcBorders>
                    <w:tl2br w:val="nil"/>
                    <w:tr2bl w:val="nil"/>
                  </w:tcBorders>
                  <w:noWrap w:val="0"/>
                  <w:tcMar>
                    <w:left w:w="0" w:type="dxa"/>
                    <w:right w:w="0" w:type="dxa"/>
                  </w:tcMar>
                  <w:vAlign w:val="center"/>
                </w:tcPr>
                <w:p w14:paraId="53C315B3">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490388F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2FFDE52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630</w:t>
                  </w:r>
                </w:p>
              </w:tc>
              <w:tc>
                <w:tcPr>
                  <w:tcW w:w="1301" w:type="dxa"/>
                  <w:vMerge w:val="restart"/>
                  <w:tcBorders>
                    <w:tl2br w:val="nil"/>
                    <w:tr2bl w:val="nil"/>
                  </w:tcBorders>
                  <w:noWrap w:val="0"/>
                  <w:tcMar>
                    <w:left w:w="0" w:type="dxa"/>
                    <w:right w:w="0" w:type="dxa"/>
                  </w:tcMar>
                  <w:vAlign w:val="center"/>
                </w:tcPr>
                <w:p w14:paraId="21063C5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r>
            <w:tr w14:paraId="77415B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368D8582">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4CA8A0F7">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70D06F5A">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13D85272">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243C30EA">
                  <w:pPr>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4E5C1EC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724</w:t>
                  </w:r>
                </w:p>
              </w:tc>
              <w:tc>
                <w:tcPr>
                  <w:tcW w:w="1301" w:type="dxa"/>
                  <w:vMerge w:val="continue"/>
                  <w:tcBorders>
                    <w:tl2br w:val="nil"/>
                    <w:tr2bl w:val="nil"/>
                  </w:tcBorders>
                  <w:noWrap w:val="0"/>
                  <w:tcMar>
                    <w:left w:w="0" w:type="dxa"/>
                    <w:right w:w="0" w:type="dxa"/>
                  </w:tcMar>
                  <w:vAlign w:val="center"/>
                </w:tcPr>
                <w:p w14:paraId="09F536E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75AF3F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444A949E">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7F188ACF">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25A62ADF">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06F302E8">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2BE538AC">
                  <w:pPr>
                    <w:snapToGrid w:val="0"/>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406177F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851</w:t>
                  </w:r>
                </w:p>
              </w:tc>
              <w:tc>
                <w:tcPr>
                  <w:tcW w:w="1301" w:type="dxa"/>
                  <w:vMerge w:val="continue"/>
                  <w:tcBorders>
                    <w:tl2br w:val="nil"/>
                    <w:tr2bl w:val="nil"/>
                  </w:tcBorders>
                  <w:noWrap w:val="0"/>
                  <w:tcMar>
                    <w:left w:w="0" w:type="dxa"/>
                    <w:right w:w="0" w:type="dxa"/>
                  </w:tcMar>
                  <w:vAlign w:val="center"/>
                </w:tcPr>
                <w:p w14:paraId="271A390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2D242D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7B235C18">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2FC31BF0">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15A35FF5">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7CF2C8E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671602FA">
                  <w:pPr>
                    <w:spacing w:line="240" w:lineRule="auto"/>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45092BA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average(F10:F12)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735</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7E3FE70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203E4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462D7A1A">
                  <w:pPr>
                    <w:adjustRightInd w:val="0"/>
                    <w:snapToGrid w:val="0"/>
                    <w:spacing w:line="240" w:lineRule="auto"/>
                    <w:jc w:val="center"/>
                    <w:rPr>
                      <w:rFonts w:hint="eastAsia" w:cs="Times New Roman"/>
                      <w:color w:val="auto"/>
                      <w:sz w:val="21"/>
                      <w:szCs w:val="21"/>
                      <w:lang w:val="en-US" w:eastAsia="zh-CN"/>
                    </w:rPr>
                  </w:pPr>
                </w:p>
              </w:tc>
              <w:tc>
                <w:tcPr>
                  <w:tcW w:w="1295" w:type="dxa"/>
                  <w:vMerge w:val="continue"/>
                  <w:tcBorders>
                    <w:tl2br w:val="nil"/>
                    <w:tr2bl w:val="nil"/>
                  </w:tcBorders>
                  <w:noWrap w:val="0"/>
                  <w:vAlign w:val="center"/>
                </w:tcPr>
                <w:p w14:paraId="72E8C571">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restart"/>
                  <w:tcBorders>
                    <w:tl2br w:val="nil"/>
                    <w:tr2bl w:val="nil"/>
                  </w:tcBorders>
                  <w:noWrap w:val="0"/>
                  <w:tcMar>
                    <w:left w:w="0" w:type="dxa"/>
                    <w:right w:w="0" w:type="dxa"/>
                  </w:tcMar>
                  <w:vAlign w:val="center"/>
                </w:tcPr>
                <w:p w14:paraId="4ADD839E">
                  <w:pPr>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eastAsia="宋体"/>
                      <w:color w:val="auto"/>
                      <w:sz w:val="21"/>
                      <w:szCs w:val="21"/>
                      <w:lang w:val="en-US" w:eastAsia="zh-CN"/>
                    </w:rPr>
                    <w:t>非甲烷总烃</w:t>
                  </w:r>
                </w:p>
              </w:tc>
              <w:tc>
                <w:tcPr>
                  <w:tcW w:w="1295" w:type="dxa"/>
                  <w:tcBorders>
                    <w:tl2br w:val="nil"/>
                    <w:tr2bl w:val="nil"/>
                  </w:tcBorders>
                  <w:noWrap w:val="0"/>
                  <w:tcMar>
                    <w:left w:w="0" w:type="dxa"/>
                    <w:right w:w="0" w:type="dxa"/>
                  </w:tcMar>
                  <w:vAlign w:val="center"/>
                </w:tcPr>
                <w:p w14:paraId="3E3E49AB">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12AC98A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8198</w:t>
                  </w:r>
                </w:p>
              </w:tc>
              <w:tc>
                <w:tcPr>
                  <w:tcW w:w="1295" w:type="dxa"/>
                  <w:tcBorders>
                    <w:tl2br w:val="nil"/>
                    <w:tr2bl w:val="nil"/>
                  </w:tcBorders>
                  <w:noWrap w:val="0"/>
                  <w:tcMar>
                    <w:left w:w="0" w:type="dxa"/>
                    <w:right w:w="0" w:type="dxa"/>
                  </w:tcMar>
                  <w:vAlign w:val="center"/>
                </w:tcPr>
                <w:p w14:paraId="146BC8CA">
                  <w:pPr>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5.82</w:t>
                  </w:r>
                </w:p>
              </w:tc>
              <w:tc>
                <w:tcPr>
                  <w:tcW w:w="1301" w:type="dxa"/>
                  <w:vMerge w:val="restart"/>
                  <w:tcBorders>
                    <w:tl2br w:val="nil"/>
                    <w:tr2bl w:val="nil"/>
                  </w:tcBorders>
                  <w:noWrap w:val="0"/>
                  <w:tcMar>
                    <w:left w:w="0" w:type="dxa"/>
                    <w:right w:w="0" w:type="dxa"/>
                  </w:tcMar>
                  <w:vAlign w:val="center"/>
                </w:tcPr>
                <w:p w14:paraId="23257AA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5.0</w:t>
                  </w:r>
                  <w:r>
                    <w:rPr>
                      <w:rFonts w:hint="default" w:ascii="Times New Roman" w:hAnsi="Times New Roman" w:eastAsia="宋体" w:cs="Times New Roman"/>
                      <w:i w:val="0"/>
                      <w:color w:val="auto"/>
                      <w:kern w:val="0"/>
                      <w:sz w:val="21"/>
                      <w:szCs w:val="21"/>
                      <w:u w:val="none"/>
                      <w:lang w:val="en-US" w:eastAsia="zh-CN" w:bidi="ar"/>
                    </w:rPr>
                    <w:t>×10</w:t>
                  </w:r>
                  <w:r>
                    <w:rPr>
                      <w:rFonts w:hint="eastAsia" w:ascii="Times New Roman" w:hAnsi="Times New Roman" w:eastAsia="宋体" w:cs="Times New Roman"/>
                      <w:i w:val="0"/>
                      <w:color w:val="auto"/>
                      <w:kern w:val="0"/>
                      <w:sz w:val="21"/>
                      <w:szCs w:val="21"/>
                      <w:u w:val="none"/>
                      <w:vertAlign w:val="superscript"/>
                      <w:lang w:val="en-US" w:eastAsia="zh-CN" w:bidi="ar"/>
                    </w:rPr>
                    <w:t>-2</w:t>
                  </w:r>
                </w:p>
              </w:tc>
            </w:tr>
            <w:tr w14:paraId="24543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7FBF6D4A">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16030B6C">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704113BA">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023A6BE7">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2E43009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8184</w:t>
                  </w:r>
                </w:p>
              </w:tc>
              <w:tc>
                <w:tcPr>
                  <w:tcW w:w="1295" w:type="dxa"/>
                  <w:tcBorders>
                    <w:tl2br w:val="nil"/>
                    <w:tr2bl w:val="nil"/>
                  </w:tcBorders>
                  <w:noWrap w:val="0"/>
                  <w:tcMar>
                    <w:left w:w="0" w:type="dxa"/>
                    <w:right w:w="0" w:type="dxa"/>
                  </w:tcMar>
                  <w:vAlign w:val="center"/>
                </w:tcPr>
                <w:p w14:paraId="140F657F">
                  <w:pPr>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6.48</w:t>
                  </w:r>
                </w:p>
              </w:tc>
              <w:tc>
                <w:tcPr>
                  <w:tcW w:w="1301" w:type="dxa"/>
                  <w:vMerge w:val="continue"/>
                  <w:tcBorders>
                    <w:tl2br w:val="nil"/>
                    <w:tr2bl w:val="nil"/>
                  </w:tcBorders>
                  <w:noWrap w:val="0"/>
                  <w:tcMar>
                    <w:left w:w="0" w:type="dxa"/>
                    <w:right w:w="0" w:type="dxa"/>
                  </w:tcMar>
                  <w:vAlign w:val="center"/>
                </w:tcPr>
                <w:p w14:paraId="5807FE1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483C63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37087071">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11394E90">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1A11FE16">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6770343F">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5370E0A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8169</w:t>
                  </w:r>
                </w:p>
              </w:tc>
              <w:tc>
                <w:tcPr>
                  <w:tcW w:w="1295" w:type="dxa"/>
                  <w:tcBorders>
                    <w:tl2br w:val="nil"/>
                    <w:tr2bl w:val="nil"/>
                  </w:tcBorders>
                  <w:noWrap w:val="0"/>
                  <w:tcMar>
                    <w:left w:w="0" w:type="dxa"/>
                    <w:right w:w="0" w:type="dxa"/>
                  </w:tcMar>
                  <w:vAlign w:val="center"/>
                </w:tcPr>
                <w:p w14:paraId="549C432A">
                  <w:pPr>
                    <w:jc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6.11</w:t>
                  </w:r>
                </w:p>
              </w:tc>
              <w:tc>
                <w:tcPr>
                  <w:tcW w:w="1301" w:type="dxa"/>
                  <w:vMerge w:val="continue"/>
                  <w:tcBorders>
                    <w:tl2br w:val="nil"/>
                    <w:tr2bl w:val="nil"/>
                  </w:tcBorders>
                  <w:noWrap w:val="0"/>
                  <w:tcMar>
                    <w:left w:w="0" w:type="dxa"/>
                    <w:right w:w="0" w:type="dxa"/>
                  </w:tcMar>
                  <w:vAlign w:val="center"/>
                </w:tcPr>
                <w:p w14:paraId="22CB21C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4990F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58C37A7E">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21456BB1">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26F761C8">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0B3C879C">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44C7245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average(E2:E4)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818</w:t>
                  </w:r>
                  <w:r>
                    <w:rPr>
                      <w:rFonts w:hint="eastAsia" w:ascii="Times New Roman" w:hAnsi="Times New Roman" w:eastAsia="宋体" w:cs="Times New Roman"/>
                      <w:i w:val="0"/>
                      <w:color w:val="auto"/>
                      <w:kern w:val="0"/>
                      <w:sz w:val="21"/>
                      <w:szCs w:val="21"/>
                      <w:u w:val="none"/>
                      <w:lang w:val="en-US" w:eastAsia="zh-CN" w:bidi="ar"/>
                    </w:rPr>
                    <w:t>4</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95" w:type="dxa"/>
                  <w:tcBorders>
                    <w:tl2br w:val="nil"/>
                    <w:tr2bl w:val="nil"/>
                  </w:tcBorders>
                  <w:noWrap w:val="0"/>
                  <w:tcMar>
                    <w:left w:w="0" w:type="dxa"/>
                    <w:right w:w="0" w:type="dxa"/>
                  </w:tcMar>
                  <w:vAlign w:val="center"/>
                </w:tcPr>
                <w:p w14:paraId="1FFE545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average(F14:F16)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6.1</w:t>
                  </w:r>
                  <w:r>
                    <w:rPr>
                      <w:rFonts w:hint="eastAsia" w:ascii="Times New Roman" w:hAnsi="Times New Roman" w:eastAsia="宋体" w:cs="Times New Roman"/>
                      <w:i w:val="0"/>
                      <w:color w:val="auto"/>
                      <w:kern w:val="0"/>
                      <w:sz w:val="21"/>
                      <w:szCs w:val="21"/>
                      <w:u w:val="none"/>
                      <w:lang w:val="en-US" w:eastAsia="zh-CN" w:bidi="ar"/>
                    </w:rPr>
                    <w:t>4</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368CBD5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121752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restart"/>
                  <w:tcBorders>
                    <w:tl2br w:val="nil"/>
                    <w:tr2bl w:val="nil"/>
                  </w:tcBorders>
                  <w:noWrap w:val="0"/>
                  <w:vAlign w:val="center"/>
                </w:tcPr>
                <w:p w14:paraId="49AD236C">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w:t>
                  </w:r>
                </w:p>
                <w:p w14:paraId="4BE833C6">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月</w:t>
                  </w:r>
                </w:p>
                <w:p w14:paraId="697F1AC9">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2</w:t>
                  </w:r>
                </w:p>
                <w:p w14:paraId="2009D594">
                  <w:pPr>
                    <w:snapToGrid w:val="0"/>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12"/>
                      <w:sz w:val="21"/>
                      <w:szCs w:val="21"/>
                      <w:lang w:val="en-US" w:eastAsia="zh-CN"/>
                    </w:rPr>
                    <w:t>日</w:t>
                  </w:r>
                </w:p>
                <w:p w14:paraId="1C35DED3">
                  <w:pPr>
                    <w:adjustRightInd w:val="0"/>
                    <w:snapToGrid w:val="0"/>
                    <w:spacing w:line="240" w:lineRule="auto"/>
                    <w:jc w:val="center"/>
                    <w:rPr>
                      <w:rFonts w:hint="eastAsia" w:cs="Times New Roman"/>
                      <w:color w:val="auto"/>
                      <w:sz w:val="21"/>
                      <w:szCs w:val="21"/>
                      <w:highlight w:val="none"/>
                      <w:lang w:val="en-US" w:eastAsia="zh-CN"/>
                    </w:rPr>
                  </w:pPr>
                </w:p>
              </w:tc>
              <w:tc>
                <w:tcPr>
                  <w:tcW w:w="1295" w:type="dxa"/>
                  <w:vMerge w:val="restart"/>
                  <w:tcBorders>
                    <w:tl2br w:val="nil"/>
                    <w:tr2bl w:val="nil"/>
                  </w:tcBorders>
                  <w:noWrap w:val="0"/>
                  <w:vAlign w:val="center"/>
                </w:tcPr>
                <w:p w14:paraId="4DA0A001">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lang w:val="en-US" w:eastAsia="zh-CN"/>
                    </w:rPr>
                    <w:t>1#除臭废气排气筒出口</w:t>
                  </w:r>
                </w:p>
              </w:tc>
              <w:tc>
                <w:tcPr>
                  <w:tcW w:w="1295" w:type="dxa"/>
                  <w:vMerge w:val="restart"/>
                  <w:tcBorders>
                    <w:tl2br w:val="nil"/>
                    <w:tr2bl w:val="nil"/>
                  </w:tcBorders>
                  <w:noWrap w:val="0"/>
                  <w:tcMar>
                    <w:left w:w="0" w:type="dxa"/>
                    <w:right w:w="0" w:type="dxa"/>
                  </w:tcMar>
                  <w:vAlign w:val="center"/>
                </w:tcPr>
                <w:p w14:paraId="35EF0E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ascii="Times New Roman" w:hAnsi="Times New Roman"/>
                      <w:color w:val="000000"/>
                      <w:sz w:val="21"/>
                      <w:szCs w:val="21"/>
                      <w:lang w:val="en-US" w:eastAsia="zh-CN"/>
                    </w:rPr>
                    <w:t>硫化氢</w:t>
                  </w:r>
                </w:p>
              </w:tc>
              <w:tc>
                <w:tcPr>
                  <w:tcW w:w="1295" w:type="dxa"/>
                  <w:tcBorders>
                    <w:tl2br w:val="nil"/>
                    <w:tr2bl w:val="nil"/>
                  </w:tcBorders>
                  <w:noWrap w:val="0"/>
                  <w:tcMar>
                    <w:left w:w="0" w:type="dxa"/>
                    <w:right w:w="0" w:type="dxa"/>
                  </w:tcMar>
                  <w:vAlign w:val="center"/>
                </w:tcPr>
                <w:p w14:paraId="70F86643">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4E5AFA8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7933</w:t>
                  </w:r>
                </w:p>
              </w:tc>
              <w:tc>
                <w:tcPr>
                  <w:tcW w:w="1295" w:type="dxa"/>
                  <w:tcBorders>
                    <w:tl2br w:val="nil"/>
                    <w:tr2bl w:val="nil"/>
                  </w:tcBorders>
                  <w:noWrap w:val="0"/>
                  <w:tcMar>
                    <w:left w:w="0" w:type="dxa"/>
                    <w:right w:w="0" w:type="dxa"/>
                  </w:tcMar>
                  <w:vAlign w:val="center"/>
                </w:tcPr>
                <w:p w14:paraId="0726819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0.211</w:t>
                  </w:r>
                </w:p>
              </w:tc>
              <w:tc>
                <w:tcPr>
                  <w:tcW w:w="1301" w:type="dxa"/>
                  <w:vMerge w:val="restart"/>
                  <w:tcBorders>
                    <w:tl2br w:val="nil"/>
                    <w:tr2bl w:val="nil"/>
                  </w:tcBorders>
                  <w:noWrap w:val="0"/>
                  <w:tcMar>
                    <w:left w:w="0" w:type="dxa"/>
                    <w:right w:w="0" w:type="dxa"/>
                  </w:tcMar>
                  <w:vAlign w:val="center"/>
                </w:tcPr>
                <w:p w14:paraId="17267A4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1.6</w:t>
                  </w:r>
                  <w:r>
                    <w:rPr>
                      <w:rFonts w:hint="default" w:ascii="Times New Roman" w:hAnsi="Times New Roman" w:eastAsia="宋体" w:cs="Times New Roman"/>
                      <w:i w:val="0"/>
                      <w:color w:val="auto"/>
                      <w:kern w:val="0"/>
                      <w:sz w:val="21"/>
                      <w:szCs w:val="21"/>
                      <w:u w:val="none"/>
                      <w:lang w:val="en-US" w:eastAsia="zh-CN" w:bidi="ar"/>
                    </w:rPr>
                    <w:t>×10</w:t>
                  </w:r>
                  <w:r>
                    <w:rPr>
                      <w:rFonts w:hint="eastAsia" w:ascii="Times New Roman" w:hAnsi="Times New Roman" w:eastAsia="宋体" w:cs="Times New Roman"/>
                      <w:i w:val="0"/>
                      <w:color w:val="auto"/>
                      <w:kern w:val="0"/>
                      <w:sz w:val="21"/>
                      <w:szCs w:val="21"/>
                      <w:u w:val="none"/>
                      <w:vertAlign w:val="superscript"/>
                      <w:lang w:val="en-US" w:eastAsia="zh-CN" w:bidi="ar"/>
                    </w:rPr>
                    <w:t>-3</w:t>
                  </w:r>
                </w:p>
              </w:tc>
            </w:tr>
            <w:tr w14:paraId="690C91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3AB48CA9">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5D95D21B">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39B400B2">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7AF60B6A">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73D3A91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7913</w:t>
                  </w:r>
                </w:p>
              </w:tc>
              <w:tc>
                <w:tcPr>
                  <w:tcW w:w="1295" w:type="dxa"/>
                  <w:tcBorders>
                    <w:tl2br w:val="nil"/>
                    <w:tr2bl w:val="nil"/>
                  </w:tcBorders>
                  <w:noWrap w:val="0"/>
                  <w:tcMar>
                    <w:left w:w="0" w:type="dxa"/>
                    <w:right w:w="0" w:type="dxa"/>
                  </w:tcMar>
                  <w:vAlign w:val="center"/>
                </w:tcPr>
                <w:p w14:paraId="27DED34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0.198</w:t>
                  </w:r>
                </w:p>
              </w:tc>
              <w:tc>
                <w:tcPr>
                  <w:tcW w:w="1301" w:type="dxa"/>
                  <w:vMerge w:val="continue"/>
                  <w:tcBorders>
                    <w:tl2br w:val="nil"/>
                    <w:tr2bl w:val="nil"/>
                  </w:tcBorders>
                  <w:noWrap w:val="0"/>
                  <w:tcMar>
                    <w:left w:w="0" w:type="dxa"/>
                    <w:right w:w="0" w:type="dxa"/>
                  </w:tcMar>
                  <w:vAlign w:val="center"/>
                </w:tcPr>
                <w:p w14:paraId="542859B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6CAA1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43383105">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6BB4DA92">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1B8EB581">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77128545">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23E81C2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8011</w:t>
                  </w:r>
                </w:p>
              </w:tc>
              <w:tc>
                <w:tcPr>
                  <w:tcW w:w="1295" w:type="dxa"/>
                  <w:tcBorders>
                    <w:tl2br w:val="nil"/>
                    <w:tr2bl w:val="nil"/>
                  </w:tcBorders>
                  <w:noWrap w:val="0"/>
                  <w:tcMar>
                    <w:left w:w="0" w:type="dxa"/>
                    <w:right w:w="0" w:type="dxa"/>
                  </w:tcMar>
                  <w:vAlign w:val="center"/>
                </w:tcPr>
                <w:p w14:paraId="65D3EFA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0.177</w:t>
                  </w:r>
                </w:p>
              </w:tc>
              <w:tc>
                <w:tcPr>
                  <w:tcW w:w="1301" w:type="dxa"/>
                  <w:vMerge w:val="continue"/>
                  <w:tcBorders>
                    <w:tl2br w:val="nil"/>
                    <w:tr2bl w:val="nil"/>
                  </w:tcBorders>
                  <w:noWrap w:val="0"/>
                  <w:tcMar>
                    <w:left w:w="0" w:type="dxa"/>
                    <w:right w:w="0" w:type="dxa"/>
                  </w:tcMar>
                  <w:vAlign w:val="center"/>
                </w:tcPr>
                <w:p w14:paraId="790597D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08744A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6A034CC8">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1C21E4A0">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53F0E592">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3648CDB8">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5D0D1FF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average(E18:E20)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7952</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95" w:type="dxa"/>
                  <w:tcBorders>
                    <w:tl2br w:val="nil"/>
                    <w:tr2bl w:val="nil"/>
                  </w:tcBorders>
                  <w:noWrap w:val="0"/>
                  <w:tcMar>
                    <w:left w:w="0" w:type="dxa"/>
                    <w:right w:w="0" w:type="dxa"/>
                  </w:tcMar>
                  <w:vAlign w:val="center"/>
                </w:tcPr>
                <w:p w14:paraId="01B2274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average(F18:F20)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0.195</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1F17F3F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48A189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777557B4">
                  <w:pPr>
                    <w:adjustRightInd w:val="0"/>
                    <w:snapToGrid w:val="0"/>
                    <w:spacing w:line="240" w:lineRule="auto"/>
                    <w:jc w:val="center"/>
                    <w:rPr>
                      <w:rFonts w:hint="eastAsia" w:ascii="Times New Roman" w:hAnsi="Times New Roman" w:cs="Times New Roman"/>
                      <w:color w:val="auto"/>
                      <w:sz w:val="21"/>
                      <w:szCs w:val="21"/>
                      <w:highlight w:val="none"/>
                      <w:lang w:val="en-US" w:eastAsia="zh-CN"/>
                    </w:rPr>
                  </w:pPr>
                </w:p>
              </w:tc>
              <w:tc>
                <w:tcPr>
                  <w:tcW w:w="1295" w:type="dxa"/>
                  <w:vMerge w:val="continue"/>
                  <w:tcBorders>
                    <w:tl2br w:val="nil"/>
                    <w:tr2bl w:val="nil"/>
                  </w:tcBorders>
                  <w:noWrap w:val="0"/>
                  <w:vAlign w:val="center"/>
                </w:tcPr>
                <w:p w14:paraId="715307B0">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restart"/>
                  <w:tcBorders>
                    <w:tl2br w:val="nil"/>
                    <w:tr2bl w:val="nil"/>
                  </w:tcBorders>
                  <w:noWrap w:val="0"/>
                  <w:tcMar>
                    <w:left w:w="0" w:type="dxa"/>
                    <w:right w:w="0" w:type="dxa"/>
                  </w:tcMar>
                  <w:vAlign w:val="center"/>
                </w:tcPr>
                <w:p w14:paraId="3970A07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eastAsia="宋体"/>
                      <w:b w:val="0"/>
                      <w:bCs/>
                      <w:color w:val="000000"/>
                      <w:sz w:val="21"/>
                      <w:szCs w:val="21"/>
                      <w:vertAlign w:val="baseline"/>
                      <w:lang w:val="en-US" w:eastAsia="zh-CN"/>
                    </w:rPr>
                    <w:t>氨</w:t>
                  </w:r>
                </w:p>
              </w:tc>
              <w:tc>
                <w:tcPr>
                  <w:tcW w:w="1295" w:type="dxa"/>
                  <w:tcBorders>
                    <w:tl2br w:val="nil"/>
                    <w:tr2bl w:val="nil"/>
                  </w:tcBorders>
                  <w:noWrap w:val="0"/>
                  <w:tcMar>
                    <w:left w:w="0" w:type="dxa"/>
                    <w:right w:w="0" w:type="dxa"/>
                  </w:tcMar>
                  <w:vAlign w:val="center"/>
                </w:tcPr>
                <w:p w14:paraId="2DEEE1A8">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65CF4AF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7933</w:t>
                  </w:r>
                </w:p>
              </w:tc>
              <w:tc>
                <w:tcPr>
                  <w:tcW w:w="1295" w:type="dxa"/>
                  <w:tcBorders>
                    <w:tl2br w:val="nil"/>
                    <w:tr2bl w:val="nil"/>
                  </w:tcBorders>
                  <w:noWrap w:val="0"/>
                  <w:tcMar>
                    <w:left w:w="0" w:type="dxa"/>
                    <w:right w:w="0" w:type="dxa"/>
                  </w:tcMar>
                  <w:vAlign w:val="center"/>
                </w:tcPr>
                <w:p w14:paraId="5D8C994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9.1</w:t>
                  </w:r>
                </w:p>
              </w:tc>
              <w:tc>
                <w:tcPr>
                  <w:tcW w:w="1301" w:type="dxa"/>
                  <w:vMerge w:val="restart"/>
                  <w:tcBorders>
                    <w:tl2br w:val="nil"/>
                    <w:tr2bl w:val="nil"/>
                  </w:tcBorders>
                  <w:noWrap w:val="0"/>
                  <w:tcMar>
                    <w:left w:w="0" w:type="dxa"/>
                    <w:right w:w="0" w:type="dxa"/>
                  </w:tcMar>
                  <w:vAlign w:val="center"/>
                </w:tcPr>
                <w:p w14:paraId="7BA34A3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7.3</w:t>
                  </w:r>
                  <w:r>
                    <w:rPr>
                      <w:rFonts w:hint="default" w:ascii="Times New Roman" w:hAnsi="Times New Roman" w:eastAsia="宋体" w:cs="Times New Roman"/>
                      <w:i w:val="0"/>
                      <w:color w:val="auto"/>
                      <w:kern w:val="0"/>
                      <w:sz w:val="21"/>
                      <w:szCs w:val="21"/>
                      <w:u w:val="none"/>
                      <w:lang w:val="en-US" w:eastAsia="zh-CN" w:bidi="ar"/>
                    </w:rPr>
                    <w:t>×10</w:t>
                  </w:r>
                  <w:r>
                    <w:rPr>
                      <w:rFonts w:hint="eastAsia" w:ascii="Times New Roman" w:hAnsi="Times New Roman" w:eastAsia="宋体" w:cs="Times New Roman"/>
                      <w:i w:val="0"/>
                      <w:color w:val="auto"/>
                      <w:kern w:val="0"/>
                      <w:sz w:val="21"/>
                      <w:szCs w:val="21"/>
                      <w:u w:val="none"/>
                      <w:vertAlign w:val="superscript"/>
                      <w:lang w:val="en-US" w:eastAsia="zh-CN" w:bidi="ar"/>
                    </w:rPr>
                    <w:t>-2</w:t>
                  </w:r>
                </w:p>
              </w:tc>
            </w:tr>
            <w:tr w14:paraId="54D19A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06B8B16F">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7C933847">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44E42199">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229022DE">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75BE2D7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7913</w:t>
                  </w:r>
                </w:p>
              </w:tc>
              <w:tc>
                <w:tcPr>
                  <w:tcW w:w="1295" w:type="dxa"/>
                  <w:tcBorders>
                    <w:tl2br w:val="nil"/>
                    <w:tr2bl w:val="nil"/>
                  </w:tcBorders>
                  <w:noWrap w:val="0"/>
                  <w:tcMar>
                    <w:left w:w="0" w:type="dxa"/>
                    <w:right w:w="0" w:type="dxa"/>
                  </w:tcMar>
                  <w:vAlign w:val="center"/>
                </w:tcPr>
                <w:p w14:paraId="758AAAA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9.5</w:t>
                  </w:r>
                </w:p>
              </w:tc>
              <w:tc>
                <w:tcPr>
                  <w:tcW w:w="1301" w:type="dxa"/>
                  <w:vMerge w:val="continue"/>
                  <w:tcBorders>
                    <w:tl2br w:val="nil"/>
                    <w:tr2bl w:val="nil"/>
                  </w:tcBorders>
                  <w:noWrap w:val="0"/>
                  <w:tcMar>
                    <w:left w:w="0" w:type="dxa"/>
                    <w:right w:w="0" w:type="dxa"/>
                  </w:tcMar>
                  <w:vAlign w:val="center"/>
                </w:tcPr>
                <w:p w14:paraId="3740897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016C01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064841B3">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35DEFA22">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51B5D685">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6BD006CA">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38E93F1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8011</w:t>
                  </w:r>
                </w:p>
              </w:tc>
              <w:tc>
                <w:tcPr>
                  <w:tcW w:w="1295" w:type="dxa"/>
                  <w:tcBorders>
                    <w:tl2br w:val="nil"/>
                    <w:tr2bl w:val="nil"/>
                  </w:tcBorders>
                  <w:noWrap w:val="0"/>
                  <w:tcMar>
                    <w:left w:w="0" w:type="dxa"/>
                    <w:right w:w="0" w:type="dxa"/>
                  </w:tcMar>
                  <w:vAlign w:val="center"/>
                </w:tcPr>
                <w:p w14:paraId="7A983D5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9.0</w:t>
                  </w:r>
                </w:p>
              </w:tc>
              <w:tc>
                <w:tcPr>
                  <w:tcW w:w="1301" w:type="dxa"/>
                  <w:vMerge w:val="continue"/>
                  <w:tcBorders>
                    <w:tl2br w:val="nil"/>
                    <w:tr2bl w:val="nil"/>
                  </w:tcBorders>
                  <w:noWrap w:val="0"/>
                  <w:tcMar>
                    <w:left w:w="0" w:type="dxa"/>
                    <w:right w:w="0" w:type="dxa"/>
                  </w:tcMar>
                  <w:vAlign w:val="center"/>
                </w:tcPr>
                <w:p w14:paraId="6004490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76AD1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295" w:type="dxa"/>
                  <w:vMerge w:val="continue"/>
                  <w:tcBorders>
                    <w:tl2br w:val="nil"/>
                    <w:tr2bl w:val="nil"/>
                  </w:tcBorders>
                  <w:noWrap w:val="0"/>
                  <w:vAlign w:val="center"/>
                </w:tcPr>
                <w:p w14:paraId="597CD65F">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2C23A5B4">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69D8C0F6">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3E45F130">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563D6E6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average(E18:E20)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7952</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95" w:type="dxa"/>
                  <w:tcBorders>
                    <w:tl2br w:val="nil"/>
                    <w:tr2bl w:val="nil"/>
                  </w:tcBorders>
                  <w:noWrap w:val="0"/>
                  <w:tcMar>
                    <w:left w:w="0" w:type="dxa"/>
                    <w:right w:w="0" w:type="dxa"/>
                  </w:tcMar>
                  <w:vAlign w:val="center"/>
                </w:tcPr>
                <w:p w14:paraId="0A2B79A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average(F22:F24)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9.2</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2B1CD39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10649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restart"/>
                  <w:tcBorders>
                    <w:tl2br w:val="nil"/>
                    <w:tr2bl w:val="nil"/>
                  </w:tcBorders>
                  <w:noWrap w:val="0"/>
                  <w:vAlign w:val="center"/>
                </w:tcPr>
                <w:p w14:paraId="6F356C5E">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6</w:t>
                  </w:r>
                </w:p>
                <w:p w14:paraId="09BF68E6">
                  <w:pPr>
                    <w:snapToGrid w:val="0"/>
                    <w:spacing w:line="360" w:lineRule="auto"/>
                    <w:jc w:val="center"/>
                    <w:rPr>
                      <w:rFonts w:hint="eastAsia"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月</w:t>
                  </w:r>
                </w:p>
                <w:p w14:paraId="464A49A2">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eastAsia" w:ascii="Times New Roman" w:hAnsi="Times New Roman" w:eastAsia="宋体" w:cs="Times New Roman"/>
                      <w:color w:val="auto"/>
                      <w:spacing w:val="-12"/>
                      <w:sz w:val="21"/>
                      <w:szCs w:val="21"/>
                      <w:lang w:val="en-US" w:eastAsia="zh-CN"/>
                    </w:rPr>
                    <w:t>2</w:t>
                  </w:r>
                </w:p>
                <w:p w14:paraId="615EF875">
                  <w:pPr>
                    <w:snapToGrid w:val="0"/>
                    <w:spacing w:line="36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12"/>
                      <w:sz w:val="21"/>
                      <w:szCs w:val="21"/>
                      <w:lang w:val="en-US" w:eastAsia="zh-CN"/>
                    </w:rPr>
                    <w:t>日</w:t>
                  </w:r>
                </w:p>
                <w:p w14:paraId="430F75B5">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restart"/>
                  <w:tcBorders>
                    <w:tl2br w:val="nil"/>
                    <w:tr2bl w:val="nil"/>
                  </w:tcBorders>
                  <w:noWrap w:val="0"/>
                  <w:vAlign w:val="center"/>
                </w:tcPr>
                <w:p w14:paraId="30A22A02">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lang w:val="en-US" w:eastAsia="zh-CN"/>
                    </w:rPr>
                    <w:t>1#除臭废气排气筒出口</w:t>
                  </w:r>
                </w:p>
              </w:tc>
              <w:tc>
                <w:tcPr>
                  <w:tcW w:w="1295" w:type="dxa"/>
                  <w:vMerge w:val="restart"/>
                  <w:tcBorders>
                    <w:tl2br w:val="nil"/>
                    <w:tr2bl w:val="nil"/>
                  </w:tcBorders>
                  <w:noWrap w:val="0"/>
                  <w:tcMar>
                    <w:left w:w="0" w:type="dxa"/>
                    <w:right w:w="0" w:type="dxa"/>
                  </w:tcMar>
                  <w:vAlign w:val="center"/>
                </w:tcPr>
                <w:p w14:paraId="36B4473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val="0"/>
                      <w:bCs/>
                      <w:color w:val="000000"/>
                      <w:sz w:val="21"/>
                      <w:szCs w:val="21"/>
                      <w:vertAlign w:val="baseline"/>
                      <w:lang w:val="en-US" w:eastAsia="zh-CN"/>
                    </w:rPr>
                  </w:pPr>
                  <w:r>
                    <w:rPr>
                      <w:rFonts w:hint="eastAsia"/>
                      <w:b w:val="0"/>
                      <w:bCs/>
                      <w:color w:val="000000"/>
                      <w:sz w:val="21"/>
                      <w:szCs w:val="21"/>
                      <w:vertAlign w:val="baseline"/>
                      <w:lang w:val="en-US" w:eastAsia="zh-CN"/>
                    </w:rPr>
                    <w:t>臭气浓度</w:t>
                  </w:r>
                </w:p>
                <w:p w14:paraId="744FA1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eastAsia"/>
                      <w:b w:val="0"/>
                      <w:bCs/>
                      <w:color w:val="000000"/>
                      <w:sz w:val="21"/>
                      <w:szCs w:val="21"/>
                      <w:vertAlign w:val="baseline"/>
                      <w:lang w:val="en-US" w:eastAsia="zh-CN"/>
                    </w:rPr>
                    <w:t>（无量纲）</w:t>
                  </w:r>
                </w:p>
              </w:tc>
              <w:tc>
                <w:tcPr>
                  <w:tcW w:w="1295" w:type="dxa"/>
                  <w:tcBorders>
                    <w:tl2br w:val="nil"/>
                    <w:tr2bl w:val="nil"/>
                  </w:tcBorders>
                  <w:noWrap w:val="0"/>
                  <w:tcMar>
                    <w:left w:w="0" w:type="dxa"/>
                    <w:right w:w="0" w:type="dxa"/>
                  </w:tcMar>
                  <w:vAlign w:val="center"/>
                </w:tcPr>
                <w:p w14:paraId="07A346C6">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75E866B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07FD910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851</w:t>
                  </w:r>
                </w:p>
              </w:tc>
              <w:tc>
                <w:tcPr>
                  <w:tcW w:w="1301" w:type="dxa"/>
                  <w:vMerge w:val="restart"/>
                  <w:tcBorders>
                    <w:tl2br w:val="nil"/>
                    <w:tr2bl w:val="nil"/>
                  </w:tcBorders>
                  <w:noWrap w:val="0"/>
                  <w:tcMar>
                    <w:left w:w="0" w:type="dxa"/>
                    <w:right w:w="0" w:type="dxa"/>
                  </w:tcMar>
                  <w:vAlign w:val="center"/>
                </w:tcPr>
                <w:p w14:paraId="1C1B611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r>
            <w:tr w14:paraId="0D906D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19E1023B">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7E124AD0">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525D4445">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58B190BF">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5F3E51A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2C9A04F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630</w:t>
                  </w:r>
                </w:p>
              </w:tc>
              <w:tc>
                <w:tcPr>
                  <w:tcW w:w="1301" w:type="dxa"/>
                  <w:vMerge w:val="continue"/>
                  <w:tcBorders>
                    <w:tl2br w:val="nil"/>
                    <w:tr2bl w:val="nil"/>
                  </w:tcBorders>
                  <w:noWrap w:val="0"/>
                  <w:tcMar>
                    <w:left w:w="0" w:type="dxa"/>
                    <w:right w:w="0" w:type="dxa"/>
                  </w:tcMar>
                  <w:vAlign w:val="center"/>
                </w:tcPr>
                <w:p w14:paraId="1C2B3CE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733209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25C5E4C8">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2798BC6D">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3A5EFBAD">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18F516FD">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0ADE174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5143ABF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851</w:t>
                  </w:r>
                </w:p>
              </w:tc>
              <w:tc>
                <w:tcPr>
                  <w:tcW w:w="1301" w:type="dxa"/>
                  <w:vMerge w:val="continue"/>
                  <w:tcBorders>
                    <w:tl2br w:val="nil"/>
                    <w:tr2bl w:val="nil"/>
                  </w:tcBorders>
                  <w:noWrap w:val="0"/>
                  <w:tcMar>
                    <w:left w:w="0" w:type="dxa"/>
                    <w:right w:w="0" w:type="dxa"/>
                  </w:tcMar>
                  <w:vAlign w:val="center"/>
                </w:tcPr>
                <w:p w14:paraId="1B659C2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3B0746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31CA2404">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5A57C08D">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53E2700C">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540887D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129674C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w:t>
                  </w:r>
                </w:p>
              </w:tc>
              <w:tc>
                <w:tcPr>
                  <w:tcW w:w="1295" w:type="dxa"/>
                  <w:tcBorders>
                    <w:tl2br w:val="nil"/>
                    <w:tr2bl w:val="nil"/>
                  </w:tcBorders>
                  <w:noWrap w:val="0"/>
                  <w:tcMar>
                    <w:left w:w="0" w:type="dxa"/>
                    <w:right w:w="0" w:type="dxa"/>
                  </w:tcMar>
                  <w:vAlign w:val="center"/>
                </w:tcPr>
                <w:p w14:paraId="09C8573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average(F26:F28)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777</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76E61D4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67E4B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12C58EE6">
                  <w:pPr>
                    <w:adjustRightInd w:val="0"/>
                    <w:snapToGrid w:val="0"/>
                    <w:spacing w:line="240" w:lineRule="auto"/>
                    <w:jc w:val="center"/>
                    <w:rPr>
                      <w:rFonts w:hint="eastAsia" w:cs="Times New Roman"/>
                      <w:color w:val="auto"/>
                      <w:sz w:val="21"/>
                      <w:szCs w:val="21"/>
                      <w:highlight w:val="none"/>
                      <w:lang w:val="en-US" w:eastAsia="zh-CN"/>
                    </w:rPr>
                  </w:pPr>
                </w:p>
              </w:tc>
              <w:tc>
                <w:tcPr>
                  <w:tcW w:w="1295" w:type="dxa"/>
                  <w:vMerge w:val="continue"/>
                  <w:tcBorders>
                    <w:tl2br w:val="nil"/>
                    <w:tr2bl w:val="nil"/>
                  </w:tcBorders>
                  <w:noWrap w:val="0"/>
                  <w:vAlign w:val="center"/>
                </w:tcPr>
                <w:p w14:paraId="5ECFBF03">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1295" w:type="dxa"/>
                  <w:vMerge w:val="restart"/>
                  <w:tcBorders>
                    <w:tl2br w:val="nil"/>
                    <w:tr2bl w:val="nil"/>
                  </w:tcBorders>
                  <w:noWrap w:val="0"/>
                  <w:tcMar>
                    <w:left w:w="0" w:type="dxa"/>
                    <w:right w:w="0" w:type="dxa"/>
                  </w:tcMar>
                  <w:vAlign w:val="center"/>
                </w:tcPr>
                <w:p w14:paraId="3339BE06">
                  <w:pPr>
                    <w:spacing w:before="0" w:beforeAutospacing="0" w:after="0" w:afterAutospacing="0" w:line="240" w:lineRule="auto"/>
                    <w:jc w:val="center"/>
                    <w:rPr>
                      <w:rFonts w:hint="eastAsia" w:ascii="Times New Roman" w:hAnsi="Times New Roman" w:eastAsia="宋体" w:cs="Times New Roman"/>
                      <w:color w:val="auto"/>
                      <w:sz w:val="21"/>
                      <w:szCs w:val="21"/>
                      <w:lang w:val="en-US" w:eastAsia="zh-CN"/>
                    </w:rPr>
                  </w:pPr>
                  <w:r>
                    <w:rPr>
                      <w:rFonts w:hint="eastAsia" w:eastAsia="宋体"/>
                      <w:color w:val="auto"/>
                      <w:sz w:val="21"/>
                      <w:szCs w:val="21"/>
                      <w:lang w:val="en-US" w:eastAsia="zh-CN"/>
                    </w:rPr>
                    <w:t>非甲烷总烃</w:t>
                  </w:r>
                </w:p>
              </w:tc>
              <w:tc>
                <w:tcPr>
                  <w:tcW w:w="1295" w:type="dxa"/>
                  <w:tcBorders>
                    <w:tl2br w:val="nil"/>
                    <w:tr2bl w:val="nil"/>
                  </w:tcBorders>
                  <w:noWrap w:val="0"/>
                  <w:tcMar>
                    <w:left w:w="0" w:type="dxa"/>
                    <w:right w:w="0" w:type="dxa"/>
                  </w:tcMar>
                  <w:vAlign w:val="center"/>
                </w:tcPr>
                <w:p w14:paraId="55421138">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295" w:type="dxa"/>
                  <w:tcBorders>
                    <w:tl2br w:val="nil"/>
                    <w:tr2bl w:val="nil"/>
                  </w:tcBorders>
                  <w:noWrap w:val="0"/>
                  <w:tcMar>
                    <w:left w:w="0" w:type="dxa"/>
                    <w:right w:w="0" w:type="dxa"/>
                  </w:tcMar>
                  <w:vAlign w:val="center"/>
                </w:tcPr>
                <w:p w14:paraId="024A798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7933</w:t>
                  </w:r>
                </w:p>
              </w:tc>
              <w:tc>
                <w:tcPr>
                  <w:tcW w:w="1295" w:type="dxa"/>
                  <w:tcBorders>
                    <w:tl2br w:val="nil"/>
                    <w:tr2bl w:val="nil"/>
                  </w:tcBorders>
                  <w:noWrap w:val="0"/>
                  <w:tcMar>
                    <w:left w:w="0" w:type="dxa"/>
                    <w:right w:w="0" w:type="dxa"/>
                  </w:tcMar>
                  <w:vAlign w:val="center"/>
                </w:tcPr>
                <w:p w14:paraId="732799D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2.79</w:t>
                  </w:r>
                </w:p>
              </w:tc>
              <w:tc>
                <w:tcPr>
                  <w:tcW w:w="1301" w:type="dxa"/>
                  <w:vMerge w:val="restart"/>
                  <w:tcBorders>
                    <w:tl2br w:val="nil"/>
                    <w:tr2bl w:val="nil"/>
                  </w:tcBorders>
                  <w:noWrap w:val="0"/>
                  <w:tcMar>
                    <w:left w:w="0" w:type="dxa"/>
                    <w:right w:w="0" w:type="dxa"/>
                  </w:tcMar>
                  <w:vAlign w:val="center"/>
                </w:tcPr>
                <w:p w14:paraId="5D241F4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2.2</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w:t>
                  </w:r>
                  <w:r>
                    <w:rPr>
                      <w:rFonts w:hint="eastAsia" w:ascii="Times New Roman" w:hAnsi="Times New Roman" w:eastAsia="宋体" w:cs="Times New Roman"/>
                      <w:i w:val="0"/>
                      <w:color w:val="auto"/>
                      <w:kern w:val="0"/>
                      <w:sz w:val="21"/>
                      <w:szCs w:val="21"/>
                      <w:u w:val="none"/>
                      <w:vertAlign w:val="superscript"/>
                      <w:lang w:val="en-US" w:eastAsia="zh-CN" w:bidi="ar"/>
                    </w:rPr>
                    <w:t>2</w:t>
                  </w:r>
                </w:p>
              </w:tc>
            </w:tr>
            <w:tr w14:paraId="0EE22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3D7AFA07">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43D958FC">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716C0F81">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279D570E">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295" w:type="dxa"/>
                  <w:tcBorders>
                    <w:tl2br w:val="nil"/>
                    <w:tr2bl w:val="nil"/>
                  </w:tcBorders>
                  <w:noWrap w:val="0"/>
                  <w:tcMar>
                    <w:left w:w="0" w:type="dxa"/>
                    <w:right w:w="0" w:type="dxa"/>
                  </w:tcMar>
                  <w:vAlign w:val="center"/>
                </w:tcPr>
                <w:p w14:paraId="4742BA8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7913</w:t>
                  </w:r>
                </w:p>
              </w:tc>
              <w:tc>
                <w:tcPr>
                  <w:tcW w:w="1295" w:type="dxa"/>
                  <w:tcBorders>
                    <w:tl2br w:val="nil"/>
                    <w:tr2bl w:val="nil"/>
                  </w:tcBorders>
                  <w:noWrap w:val="0"/>
                  <w:tcMar>
                    <w:left w:w="0" w:type="dxa"/>
                    <w:right w:w="0" w:type="dxa"/>
                  </w:tcMar>
                  <w:vAlign w:val="center"/>
                </w:tcPr>
                <w:p w14:paraId="6A6EA0A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2.76</w:t>
                  </w:r>
                </w:p>
              </w:tc>
              <w:tc>
                <w:tcPr>
                  <w:tcW w:w="1301" w:type="dxa"/>
                  <w:vMerge w:val="continue"/>
                  <w:tcBorders>
                    <w:tl2br w:val="nil"/>
                    <w:tr2bl w:val="nil"/>
                  </w:tcBorders>
                  <w:noWrap w:val="0"/>
                  <w:tcMar>
                    <w:left w:w="0" w:type="dxa"/>
                    <w:right w:w="0" w:type="dxa"/>
                  </w:tcMar>
                  <w:vAlign w:val="center"/>
                </w:tcPr>
                <w:p w14:paraId="53E455E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1B3F4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071D6021">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4B4980E4">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0593AADA">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046B5A97">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295" w:type="dxa"/>
                  <w:tcBorders>
                    <w:tl2br w:val="nil"/>
                    <w:tr2bl w:val="nil"/>
                  </w:tcBorders>
                  <w:noWrap w:val="0"/>
                  <w:tcMar>
                    <w:left w:w="0" w:type="dxa"/>
                    <w:right w:w="0" w:type="dxa"/>
                  </w:tcMar>
                  <w:vAlign w:val="center"/>
                </w:tcPr>
                <w:p w14:paraId="093F396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8011</w:t>
                  </w:r>
                </w:p>
              </w:tc>
              <w:tc>
                <w:tcPr>
                  <w:tcW w:w="1295" w:type="dxa"/>
                  <w:tcBorders>
                    <w:tl2br w:val="nil"/>
                    <w:tr2bl w:val="nil"/>
                  </w:tcBorders>
                  <w:noWrap w:val="0"/>
                  <w:tcMar>
                    <w:left w:w="0" w:type="dxa"/>
                    <w:right w:w="0" w:type="dxa"/>
                  </w:tcMar>
                  <w:vAlign w:val="center"/>
                </w:tcPr>
                <w:p w14:paraId="2BA185A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2.76</w:t>
                  </w:r>
                </w:p>
              </w:tc>
              <w:tc>
                <w:tcPr>
                  <w:tcW w:w="1301" w:type="dxa"/>
                  <w:vMerge w:val="continue"/>
                  <w:tcBorders>
                    <w:tl2br w:val="nil"/>
                    <w:tr2bl w:val="nil"/>
                  </w:tcBorders>
                  <w:noWrap w:val="0"/>
                  <w:tcMar>
                    <w:left w:w="0" w:type="dxa"/>
                    <w:right w:w="0" w:type="dxa"/>
                  </w:tcMar>
                  <w:vAlign w:val="center"/>
                </w:tcPr>
                <w:p w14:paraId="6A5180F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3695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95" w:type="dxa"/>
                  <w:vMerge w:val="continue"/>
                  <w:tcBorders>
                    <w:tl2br w:val="nil"/>
                    <w:tr2bl w:val="nil"/>
                  </w:tcBorders>
                  <w:noWrap w:val="0"/>
                  <w:vAlign w:val="center"/>
                </w:tcPr>
                <w:p w14:paraId="1ECED1D5">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vAlign w:val="center"/>
                </w:tcPr>
                <w:p w14:paraId="395882B6">
                  <w:pPr>
                    <w:adjustRightInd w:val="0"/>
                    <w:snapToGrid w:val="0"/>
                    <w:spacing w:line="240" w:lineRule="auto"/>
                    <w:jc w:val="center"/>
                    <w:rPr>
                      <w:rFonts w:hint="default" w:ascii="Times New Roman" w:hAnsi="Times New Roman" w:cs="Times New Roman"/>
                      <w:color w:val="auto"/>
                      <w:sz w:val="21"/>
                      <w:szCs w:val="21"/>
                    </w:rPr>
                  </w:pPr>
                </w:p>
              </w:tc>
              <w:tc>
                <w:tcPr>
                  <w:tcW w:w="1295" w:type="dxa"/>
                  <w:vMerge w:val="continue"/>
                  <w:tcBorders>
                    <w:tl2br w:val="nil"/>
                    <w:tr2bl w:val="nil"/>
                  </w:tcBorders>
                  <w:noWrap w:val="0"/>
                  <w:tcMar>
                    <w:left w:w="0" w:type="dxa"/>
                    <w:right w:w="0" w:type="dxa"/>
                  </w:tcMar>
                  <w:vAlign w:val="center"/>
                </w:tcPr>
                <w:p w14:paraId="1774B7EB">
                  <w:pPr>
                    <w:adjustRightInd w:val="0"/>
                    <w:snapToGrid w:val="0"/>
                    <w:spacing w:line="240" w:lineRule="auto"/>
                    <w:jc w:val="center"/>
                    <w:rPr>
                      <w:rFonts w:hint="default" w:ascii="Times New Roman" w:hAnsi="Times New Roman" w:cs="Times New Roman"/>
                      <w:color w:val="auto"/>
                      <w:sz w:val="21"/>
                      <w:szCs w:val="21"/>
                    </w:rPr>
                  </w:pPr>
                </w:p>
              </w:tc>
              <w:tc>
                <w:tcPr>
                  <w:tcW w:w="1295" w:type="dxa"/>
                  <w:tcBorders>
                    <w:tl2br w:val="nil"/>
                    <w:tr2bl w:val="nil"/>
                  </w:tcBorders>
                  <w:noWrap w:val="0"/>
                  <w:tcMar>
                    <w:left w:w="0" w:type="dxa"/>
                    <w:right w:w="0" w:type="dxa"/>
                  </w:tcMar>
                  <w:vAlign w:val="center"/>
                </w:tcPr>
                <w:p w14:paraId="27912E58">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295" w:type="dxa"/>
                  <w:tcBorders>
                    <w:tl2br w:val="nil"/>
                    <w:tr2bl w:val="nil"/>
                  </w:tcBorders>
                  <w:noWrap w:val="0"/>
                  <w:tcMar>
                    <w:left w:w="0" w:type="dxa"/>
                    <w:right w:w="0" w:type="dxa"/>
                  </w:tcMar>
                  <w:vAlign w:val="center"/>
                </w:tcPr>
                <w:p w14:paraId="3D831C5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average(E18:E20)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7952</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95" w:type="dxa"/>
                  <w:tcBorders>
                    <w:tl2br w:val="nil"/>
                    <w:tr2bl w:val="nil"/>
                  </w:tcBorders>
                  <w:noWrap w:val="0"/>
                  <w:tcMar>
                    <w:left w:w="0" w:type="dxa"/>
                    <w:right w:w="0" w:type="dxa"/>
                  </w:tcMar>
                  <w:vAlign w:val="center"/>
                </w:tcPr>
                <w:p w14:paraId="1188E5A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average(F30:F32)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2.77</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301" w:type="dxa"/>
                  <w:vMerge w:val="continue"/>
                  <w:tcBorders>
                    <w:tl2br w:val="nil"/>
                    <w:tr2bl w:val="nil"/>
                  </w:tcBorders>
                  <w:noWrap w:val="0"/>
                  <w:tcMar>
                    <w:left w:w="0" w:type="dxa"/>
                    <w:right w:w="0" w:type="dxa"/>
                  </w:tcMar>
                  <w:vAlign w:val="center"/>
                </w:tcPr>
                <w:p w14:paraId="492D531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4216AF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071" w:type="dxa"/>
                  <w:gridSpan w:val="7"/>
                  <w:tcBorders>
                    <w:tl2br w:val="nil"/>
                    <w:tr2bl w:val="nil"/>
                  </w:tcBorders>
                  <w:noWrap w:val="0"/>
                  <w:vAlign w:val="center"/>
                </w:tcPr>
                <w:p w14:paraId="15587721">
                  <w:pPr>
                    <w:adjustRightInd w:val="0"/>
                    <w:snapToGrid w:val="0"/>
                    <w:spacing w:line="240" w:lineRule="auto"/>
                    <w:jc w:val="both"/>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备注</w:t>
                  </w:r>
                  <w:r>
                    <w:rPr>
                      <w:rFonts w:hint="eastAsia" w:ascii="Times New Roman" w:hAnsi="Times New Roman" w:cs="Times New Roman"/>
                      <w:color w:val="auto"/>
                      <w:sz w:val="21"/>
                      <w:szCs w:val="21"/>
                      <w:lang w:val="en-US" w:eastAsia="zh-CN"/>
                    </w:rPr>
                    <w:t>：</w:t>
                  </w:r>
                  <w:r>
                    <w:rPr>
                      <w:rFonts w:hint="eastAsia" w:eastAsia="宋体"/>
                      <w:color w:val="auto"/>
                      <w:sz w:val="21"/>
                      <w:szCs w:val="21"/>
                      <w:highlight w:val="none"/>
                      <w:lang w:val="en-US" w:eastAsia="zh-CN"/>
                    </w:rPr>
                    <w:t>非甲烷总烃、臭气浓度</w:t>
                  </w:r>
                  <w:r>
                    <w:rPr>
                      <w:rFonts w:hint="eastAsia" w:ascii="Times New Roman" w:hAnsi="Times New Roman" w:eastAsia="宋体" w:cs="Times New Roman"/>
                      <w:color w:val="auto"/>
                      <w:sz w:val="21"/>
                      <w:szCs w:val="21"/>
                      <w:highlight w:val="none"/>
                      <w:lang w:val="en-US" w:eastAsia="zh-CN"/>
                    </w:rPr>
                    <w:t>的分析数据来源于索谱科技（成都）有限公司</w:t>
                  </w:r>
                  <w:r>
                    <w:rPr>
                      <w:rFonts w:hint="eastAsia" w:ascii="Times New Roman" w:hAnsi="Times New Roman" w:cs="Times New Roman"/>
                      <w:color w:val="auto"/>
                      <w:spacing w:val="-4"/>
                      <w:sz w:val="21"/>
                      <w:szCs w:val="21"/>
                      <w:highlight w:val="none"/>
                      <w:lang w:val="en-US" w:eastAsia="zh-CN"/>
                    </w:rPr>
                    <w:t>（CMA编号：242312051198）的检测报告（索谱环检字（2026）第06052号）。</w:t>
                  </w:r>
                </w:p>
              </w:tc>
            </w:tr>
          </w:tbl>
          <w:p w14:paraId="797345A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eastAsia="宋体"/>
                <w:b/>
                <w:sz w:val="24"/>
                <w:szCs w:val="24"/>
                <w:lang w:val="en-US" w:eastAsia="zh-CN"/>
              </w:rPr>
            </w:pPr>
            <w:r>
              <w:rPr>
                <w:rFonts w:hint="eastAsia" w:ascii="Times New Roman" w:hAnsi="Times New Roman"/>
                <w:b/>
                <w:color w:val="auto"/>
                <w:sz w:val="24"/>
                <w:szCs w:val="24"/>
              </w:rPr>
              <w:t>表</w:t>
            </w:r>
            <w:r>
              <w:rPr>
                <w:rFonts w:hint="eastAsia" w:ascii="Times New Roman" w:hAnsi="Times New Roman"/>
                <w:b/>
                <w:color w:val="auto"/>
                <w:sz w:val="24"/>
                <w:szCs w:val="24"/>
                <w:lang w:val="en-US" w:eastAsia="zh-CN"/>
              </w:rPr>
              <w:t>7</w:t>
            </w:r>
            <w:r>
              <w:rPr>
                <w:rFonts w:ascii="Times New Roman" w:hAnsi="Times New Roman"/>
                <w:b/>
                <w:color w:val="auto"/>
                <w:sz w:val="24"/>
                <w:szCs w:val="24"/>
              </w:rPr>
              <w:t>-</w:t>
            </w:r>
            <w:r>
              <w:rPr>
                <w:rFonts w:hint="eastAsia" w:ascii="Times New Roman" w:hAnsi="Times New Roman"/>
                <w:b/>
                <w:color w:val="auto"/>
                <w:sz w:val="24"/>
                <w:szCs w:val="24"/>
                <w:lang w:val="en-US" w:eastAsia="zh-CN"/>
              </w:rPr>
              <w:t xml:space="preserve">6   </w:t>
            </w:r>
            <w:r>
              <w:rPr>
                <w:rFonts w:hint="eastAsia" w:ascii="Times New Roman" w:hAnsi="Times New Roman" w:eastAsia="宋体" w:cs="Times New Roman"/>
                <w:b/>
                <w:color w:val="auto"/>
                <w:sz w:val="24"/>
                <w:szCs w:val="24"/>
                <w:lang w:val="en-US" w:eastAsia="zh-CN"/>
              </w:rPr>
              <w:t>有组织废气（2#燃油锅炉排气筒出口）</w:t>
            </w:r>
            <w:r>
              <w:rPr>
                <w:rFonts w:hint="eastAsia" w:ascii="Times New Roman" w:hAnsi="Times New Roman" w:eastAsia="宋体" w:cs="Times New Roman"/>
                <w:b/>
                <w:color w:val="auto"/>
                <w:sz w:val="24"/>
                <w:szCs w:val="24"/>
                <w:lang w:eastAsia="zh-CN"/>
              </w:rPr>
              <w:t>检测</w:t>
            </w:r>
            <w:r>
              <w:rPr>
                <w:rFonts w:hint="eastAsia" w:ascii="Times New Roman" w:hAnsi="Times New Roman" w:eastAsia="宋体" w:cs="Times New Roman"/>
                <w:b/>
                <w:color w:val="auto"/>
                <w:sz w:val="24"/>
                <w:szCs w:val="24"/>
              </w:rPr>
              <w:t>结果</w:t>
            </w:r>
          </w:p>
          <w:tbl>
            <w:tblPr>
              <w:tblStyle w:val="33"/>
              <w:tblW w:w="90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1007"/>
              <w:gridCol w:w="1007"/>
              <w:gridCol w:w="950"/>
              <w:gridCol w:w="1064"/>
              <w:gridCol w:w="1007"/>
              <w:gridCol w:w="972"/>
              <w:gridCol w:w="972"/>
              <w:gridCol w:w="1085"/>
            </w:tblGrid>
            <w:tr w14:paraId="7F8150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tblHeader/>
                <w:jc w:val="center"/>
              </w:trPr>
              <w:tc>
                <w:tcPr>
                  <w:tcW w:w="1007" w:type="dxa"/>
                  <w:vMerge w:val="restart"/>
                  <w:tcBorders>
                    <w:tl2br w:val="nil"/>
                    <w:tr2bl w:val="nil"/>
                  </w:tcBorders>
                  <w:noWrap w:val="0"/>
                  <w:vAlign w:val="center"/>
                </w:tcPr>
                <w:p w14:paraId="707FC648">
                  <w:pPr>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采样</w:t>
                  </w:r>
                </w:p>
                <w:p w14:paraId="55B9553D">
                  <w:pPr>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日期</w:t>
                  </w:r>
                </w:p>
              </w:tc>
              <w:tc>
                <w:tcPr>
                  <w:tcW w:w="1007" w:type="dxa"/>
                  <w:vMerge w:val="restart"/>
                  <w:tcBorders>
                    <w:tl2br w:val="nil"/>
                    <w:tr2bl w:val="nil"/>
                  </w:tcBorders>
                  <w:noWrap w:val="0"/>
                  <w:vAlign w:val="center"/>
                </w:tcPr>
                <w:p w14:paraId="51A391E8">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检测</w:t>
                  </w:r>
                </w:p>
                <w:p w14:paraId="533EA6C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点位</w:t>
                  </w:r>
                </w:p>
              </w:tc>
              <w:tc>
                <w:tcPr>
                  <w:tcW w:w="1007" w:type="dxa"/>
                  <w:vMerge w:val="restart"/>
                  <w:tcBorders>
                    <w:tl2br w:val="nil"/>
                    <w:tr2bl w:val="nil"/>
                  </w:tcBorders>
                  <w:noWrap w:val="0"/>
                  <w:vAlign w:val="center"/>
                </w:tcPr>
                <w:p w14:paraId="4B9B5848">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检测</w:t>
                  </w:r>
                </w:p>
                <w:p w14:paraId="4A82042B">
                  <w:pPr>
                    <w:spacing w:line="240"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项目</w:t>
                  </w:r>
                </w:p>
              </w:tc>
              <w:tc>
                <w:tcPr>
                  <w:tcW w:w="950" w:type="dxa"/>
                  <w:vMerge w:val="restart"/>
                  <w:tcBorders>
                    <w:tl2br w:val="nil"/>
                    <w:tr2bl w:val="nil"/>
                  </w:tcBorders>
                  <w:noWrap w:val="0"/>
                  <w:vAlign w:val="center"/>
                </w:tcPr>
                <w:p w14:paraId="2ED378C2">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检测</w:t>
                  </w:r>
                </w:p>
                <w:p w14:paraId="3F849B55">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频次</w:t>
                  </w:r>
                </w:p>
              </w:tc>
              <w:tc>
                <w:tcPr>
                  <w:tcW w:w="1064" w:type="dxa"/>
                  <w:vMerge w:val="restart"/>
                  <w:tcBorders>
                    <w:tl2br w:val="nil"/>
                    <w:tr2bl w:val="nil"/>
                  </w:tcBorders>
                  <w:noWrap w:val="0"/>
                  <w:vAlign w:val="center"/>
                </w:tcPr>
                <w:p w14:paraId="68940901">
                  <w:pPr>
                    <w:spacing w:line="240" w:lineRule="auto"/>
                    <w:ind w:left="-107" w:leftChars="-51" w:firstLine="94" w:firstLineChars="45"/>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标况风量</w:t>
                  </w:r>
                </w:p>
                <w:p w14:paraId="533CD7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h</w:t>
                  </w:r>
                  <w:r>
                    <w:rPr>
                      <w:rFonts w:hint="default" w:ascii="Times New Roman" w:hAnsi="Times New Roman" w:eastAsia="宋体" w:cs="Times New Roman"/>
                      <w:color w:val="auto"/>
                      <w:sz w:val="21"/>
                      <w:szCs w:val="21"/>
                      <w:lang w:eastAsia="zh-CN"/>
                    </w:rPr>
                    <w:t>）</w:t>
                  </w:r>
                </w:p>
              </w:tc>
              <w:tc>
                <w:tcPr>
                  <w:tcW w:w="1007" w:type="dxa"/>
                  <w:vMerge w:val="restart"/>
                  <w:tcBorders>
                    <w:tl2br w:val="nil"/>
                    <w:tr2bl w:val="nil"/>
                  </w:tcBorders>
                  <w:noWrap w:val="0"/>
                  <w:vAlign w:val="center"/>
                </w:tcPr>
                <w:p w14:paraId="3D577C2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含氧量（%）</w:t>
                  </w:r>
                </w:p>
              </w:tc>
              <w:tc>
                <w:tcPr>
                  <w:tcW w:w="1944" w:type="dxa"/>
                  <w:gridSpan w:val="2"/>
                  <w:tcBorders>
                    <w:tl2br w:val="nil"/>
                    <w:tr2bl w:val="nil"/>
                  </w:tcBorders>
                  <w:noWrap w:val="0"/>
                  <w:vAlign w:val="center"/>
                </w:tcPr>
                <w:p w14:paraId="409C65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排放浓</w:t>
                  </w:r>
                  <w:r>
                    <w:rPr>
                      <w:rFonts w:hint="default" w:ascii="Times New Roman" w:hAnsi="Times New Roman" w:cs="Times New Roman"/>
                      <w:color w:val="auto"/>
                      <w:sz w:val="21"/>
                      <w:szCs w:val="21"/>
                      <w:lang w:val="en-US" w:eastAsia="zh-CN"/>
                    </w:rPr>
                    <w:t>度（</w:t>
                  </w:r>
                  <w:r>
                    <w:rPr>
                      <w:rFonts w:hint="default" w:ascii="Times New Roman" w:hAnsi="Times New Roman" w:cs="Times New Roman"/>
                      <w:color w:val="auto"/>
                      <w:sz w:val="21"/>
                      <w:szCs w:val="21"/>
                    </w:rPr>
                    <w:t>mg/m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lang w:val="en-US" w:eastAsia="zh-CN"/>
                    </w:rPr>
                    <w:t>）</w:t>
                  </w:r>
                </w:p>
              </w:tc>
              <w:tc>
                <w:tcPr>
                  <w:tcW w:w="1085" w:type="dxa"/>
                  <w:vMerge w:val="restart"/>
                  <w:tcBorders>
                    <w:tl2br w:val="nil"/>
                    <w:tr2bl w:val="nil"/>
                  </w:tcBorders>
                  <w:noWrap w:val="0"/>
                  <w:vAlign w:val="center"/>
                </w:tcPr>
                <w:p w14:paraId="00042634">
                  <w:pPr>
                    <w:spacing w:line="240" w:lineRule="auto"/>
                    <w:ind w:left="-107" w:leftChars="-51" w:firstLine="94" w:firstLineChars="45"/>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排放速率</w:t>
                  </w:r>
                </w:p>
                <w:p w14:paraId="71725B1E">
                  <w:pPr>
                    <w:spacing w:line="240" w:lineRule="auto"/>
                    <w:ind w:left="-107" w:leftChars="-51" w:firstLine="94" w:firstLineChars="4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kg/h</w:t>
                  </w:r>
                  <w:r>
                    <w:rPr>
                      <w:rFonts w:hint="default" w:ascii="Times New Roman" w:hAnsi="Times New Roman" w:cs="Times New Roman"/>
                      <w:color w:val="auto"/>
                      <w:sz w:val="21"/>
                      <w:szCs w:val="21"/>
                      <w:lang w:eastAsia="zh-CN"/>
                    </w:rPr>
                    <w:t>）</w:t>
                  </w:r>
                </w:p>
              </w:tc>
            </w:tr>
            <w:tr w14:paraId="650CB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tblHeader/>
                <w:jc w:val="center"/>
              </w:trPr>
              <w:tc>
                <w:tcPr>
                  <w:tcW w:w="1007" w:type="dxa"/>
                  <w:vMerge w:val="continue"/>
                  <w:tcBorders>
                    <w:tl2br w:val="nil"/>
                    <w:tr2bl w:val="nil"/>
                  </w:tcBorders>
                  <w:noWrap w:val="0"/>
                  <w:vAlign w:val="center"/>
                </w:tcPr>
                <w:p w14:paraId="6F6FEF2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1"/>
                      <w:szCs w:val="21"/>
                    </w:rPr>
                  </w:pPr>
                </w:p>
              </w:tc>
              <w:tc>
                <w:tcPr>
                  <w:tcW w:w="1007" w:type="dxa"/>
                  <w:vMerge w:val="continue"/>
                  <w:tcBorders>
                    <w:tl2br w:val="nil"/>
                    <w:tr2bl w:val="nil"/>
                  </w:tcBorders>
                  <w:noWrap w:val="0"/>
                  <w:vAlign w:val="center"/>
                </w:tcPr>
                <w:p w14:paraId="0143D24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1"/>
                      <w:szCs w:val="21"/>
                    </w:rPr>
                  </w:pPr>
                </w:p>
              </w:tc>
              <w:tc>
                <w:tcPr>
                  <w:tcW w:w="1007" w:type="dxa"/>
                  <w:vMerge w:val="continue"/>
                  <w:tcBorders>
                    <w:tl2br w:val="nil"/>
                    <w:tr2bl w:val="nil"/>
                  </w:tcBorders>
                  <w:noWrap w:val="0"/>
                  <w:vAlign w:val="center"/>
                </w:tcPr>
                <w:p w14:paraId="0D46CB8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1"/>
                      <w:szCs w:val="21"/>
                    </w:rPr>
                  </w:pPr>
                </w:p>
              </w:tc>
              <w:tc>
                <w:tcPr>
                  <w:tcW w:w="950" w:type="dxa"/>
                  <w:vMerge w:val="continue"/>
                  <w:tcBorders>
                    <w:tl2br w:val="nil"/>
                    <w:tr2bl w:val="nil"/>
                  </w:tcBorders>
                  <w:noWrap w:val="0"/>
                  <w:vAlign w:val="center"/>
                </w:tcPr>
                <w:p w14:paraId="7F9595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1"/>
                      <w:szCs w:val="21"/>
                    </w:rPr>
                  </w:pPr>
                </w:p>
              </w:tc>
              <w:tc>
                <w:tcPr>
                  <w:tcW w:w="1064" w:type="dxa"/>
                  <w:vMerge w:val="continue"/>
                  <w:tcBorders>
                    <w:tl2br w:val="nil"/>
                    <w:tr2bl w:val="nil"/>
                  </w:tcBorders>
                  <w:noWrap w:val="0"/>
                  <w:vAlign w:val="center"/>
                </w:tcPr>
                <w:p w14:paraId="2FDBE7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1"/>
                      <w:szCs w:val="21"/>
                    </w:rPr>
                  </w:pPr>
                </w:p>
              </w:tc>
              <w:tc>
                <w:tcPr>
                  <w:tcW w:w="1007" w:type="dxa"/>
                  <w:vMerge w:val="continue"/>
                  <w:tcBorders>
                    <w:tl2br w:val="nil"/>
                    <w:tr2bl w:val="nil"/>
                  </w:tcBorders>
                  <w:noWrap w:val="0"/>
                  <w:vAlign w:val="center"/>
                </w:tcPr>
                <w:p w14:paraId="77E4FE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1"/>
                      <w:szCs w:val="21"/>
                    </w:rPr>
                  </w:pPr>
                </w:p>
              </w:tc>
              <w:tc>
                <w:tcPr>
                  <w:tcW w:w="972" w:type="dxa"/>
                  <w:tcBorders>
                    <w:tl2br w:val="nil"/>
                    <w:tr2bl w:val="nil"/>
                  </w:tcBorders>
                  <w:noWrap w:val="0"/>
                  <w:vAlign w:val="center"/>
                </w:tcPr>
                <w:p w14:paraId="1D53250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实测</w:t>
                  </w:r>
                </w:p>
              </w:tc>
              <w:tc>
                <w:tcPr>
                  <w:tcW w:w="972" w:type="dxa"/>
                  <w:tcBorders>
                    <w:tl2br w:val="nil"/>
                    <w:tr2bl w:val="nil"/>
                  </w:tcBorders>
                  <w:noWrap w:val="0"/>
                  <w:vAlign w:val="center"/>
                </w:tcPr>
                <w:p w14:paraId="7577E51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折算</w:t>
                  </w:r>
                </w:p>
              </w:tc>
              <w:tc>
                <w:tcPr>
                  <w:tcW w:w="1085" w:type="dxa"/>
                  <w:vMerge w:val="continue"/>
                  <w:tcBorders>
                    <w:tl2br w:val="nil"/>
                    <w:tr2bl w:val="nil"/>
                  </w:tcBorders>
                  <w:noWrap w:val="0"/>
                  <w:vAlign w:val="center"/>
                </w:tcPr>
                <w:p w14:paraId="7B631A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p>
              </w:tc>
            </w:tr>
            <w:tr w14:paraId="2BFC9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restart"/>
                  <w:tcBorders>
                    <w:tl2br w:val="nil"/>
                    <w:tr2bl w:val="nil"/>
                  </w:tcBorders>
                  <w:noWrap w:val="0"/>
                  <w:vAlign w:val="center"/>
                </w:tcPr>
                <w:p w14:paraId="481A55B2">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default" w:ascii="Times New Roman" w:hAnsi="Times New Roman" w:eastAsia="宋体" w:cs="Times New Roman"/>
                      <w:color w:val="auto"/>
                      <w:spacing w:val="-12"/>
                      <w:sz w:val="21"/>
                      <w:szCs w:val="21"/>
                      <w:lang w:val="en-US" w:eastAsia="zh-CN"/>
                    </w:rPr>
                    <w:t>6</w:t>
                  </w:r>
                </w:p>
                <w:p w14:paraId="4F45F191">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default" w:ascii="Times New Roman" w:hAnsi="Times New Roman" w:eastAsia="宋体" w:cs="Times New Roman"/>
                      <w:color w:val="auto"/>
                      <w:spacing w:val="-12"/>
                      <w:sz w:val="21"/>
                      <w:szCs w:val="21"/>
                      <w:lang w:val="en-US" w:eastAsia="zh-CN"/>
                    </w:rPr>
                    <w:t>月</w:t>
                  </w:r>
                </w:p>
                <w:p w14:paraId="756CC445">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default" w:ascii="Times New Roman" w:hAnsi="Times New Roman" w:eastAsia="宋体" w:cs="Times New Roman"/>
                      <w:color w:val="auto"/>
                      <w:spacing w:val="-12"/>
                      <w:sz w:val="21"/>
                      <w:szCs w:val="21"/>
                      <w:lang w:val="en-US" w:eastAsia="zh-CN"/>
                    </w:rPr>
                    <w:t>1</w:t>
                  </w:r>
                </w:p>
                <w:p w14:paraId="1A11251C">
                  <w:pPr>
                    <w:snapToGrid w:val="0"/>
                    <w:spacing w:line="36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pacing w:val="-12"/>
                      <w:sz w:val="21"/>
                      <w:szCs w:val="21"/>
                      <w:lang w:val="en-US" w:eastAsia="zh-CN"/>
                    </w:rPr>
                    <w:t>日</w:t>
                  </w:r>
                </w:p>
              </w:tc>
              <w:tc>
                <w:tcPr>
                  <w:tcW w:w="1007" w:type="dxa"/>
                  <w:vMerge w:val="restart"/>
                  <w:tcBorders>
                    <w:tl2br w:val="nil"/>
                    <w:tr2bl w:val="nil"/>
                  </w:tcBorders>
                  <w:noWrap w:val="0"/>
                  <w:vAlign w:val="center"/>
                </w:tcPr>
                <w:p w14:paraId="147C1E75">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2#燃油锅炉排气筒出口</w:t>
                  </w:r>
                </w:p>
              </w:tc>
              <w:tc>
                <w:tcPr>
                  <w:tcW w:w="1007" w:type="dxa"/>
                  <w:vMerge w:val="restart"/>
                  <w:tcBorders>
                    <w:tl2br w:val="nil"/>
                    <w:tr2bl w:val="nil"/>
                  </w:tcBorders>
                  <w:noWrap w:val="0"/>
                  <w:tcMar>
                    <w:left w:w="0" w:type="dxa"/>
                    <w:right w:w="0" w:type="dxa"/>
                  </w:tcMar>
                  <w:vAlign w:val="center"/>
                </w:tcPr>
                <w:p w14:paraId="4FD71750">
                  <w:pPr>
                    <w:jc w:val="center"/>
                    <w:rPr>
                      <w:rFonts w:hint="default" w:ascii="Times New Roman" w:hAnsi="Times New Roman" w:eastAsia="宋体" w:cs="Times New Roman"/>
                      <w:color w:val="auto"/>
                      <w:sz w:val="21"/>
                      <w:szCs w:val="21"/>
                      <w:lang w:val="en-US" w:eastAsia="zh-CN"/>
                    </w:rPr>
                  </w:pPr>
                  <w:r>
                    <w:rPr>
                      <w:rFonts w:hint="eastAsia" w:eastAsia="宋体"/>
                      <w:color w:val="auto"/>
                      <w:sz w:val="21"/>
                      <w:szCs w:val="21"/>
                      <w:lang w:eastAsia="zh-CN"/>
                    </w:rPr>
                    <w:t>颗粒物</w:t>
                  </w:r>
                </w:p>
              </w:tc>
              <w:tc>
                <w:tcPr>
                  <w:tcW w:w="950" w:type="dxa"/>
                  <w:tcBorders>
                    <w:tl2br w:val="nil"/>
                    <w:tr2bl w:val="nil"/>
                  </w:tcBorders>
                  <w:noWrap w:val="0"/>
                  <w:tcMar>
                    <w:left w:w="0" w:type="dxa"/>
                    <w:right w:w="0" w:type="dxa"/>
                  </w:tcMar>
                  <w:vAlign w:val="center"/>
                </w:tcPr>
                <w:p w14:paraId="34E4F462">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064" w:type="dxa"/>
                  <w:tcBorders>
                    <w:tl2br w:val="nil"/>
                    <w:tr2bl w:val="nil"/>
                  </w:tcBorders>
                  <w:noWrap w:val="0"/>
                  <w:tcMar>
                    <w:left w:w="0" w:type="dxa"/>
                    <w:right w:w="0" w:type="dxa"/>
                  </w:tcMar>
                  <w:vAlign w:val="center"/>
                </w:tcPr>
                <w:p w14:paraId="014012A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463</w:t>
                  </w:r>
                </w:p>
              </w:tc>
              <w:tc>
                <w:tcPr>
                  <w:tcW w:w="1007" w:type="dxa"/>
                  <w:tcBorders>
                    <w:tl2br w:val="nil"/>
                    <w:tr2bl w:val="nil"/>
                  </w:tcBorders>
                  <w:noWrap w:val="0"/>
                  <w:tcMar>
                    <w:left w:w="0" w:type="dxa"/>
                    <w:right w:w="0" w:type="dxa"/>
                  </w:tcMar>
                  <w:vAlign w:val="center"/>
                </w:tcPr>
                <w:p w14:paraId="1DB8105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5.60</w:t>
                  </w:r>
                </w:p>
              </w:tc>
              <w:tc>
                <w:tcPr>
                  <w:tcW w:w="972" w:type="dxa"/>
                  <w:tcBorders>
                    <w:tl2br w:val="nil"/>
                    <w:tr2bl w:val="nil"/>
                  </w:tcBorders>
                  <w:noWrap w:val="0"/>
                  <w:tcMar>
                    <w:left w:w="0" w:type="dxa"/>
                    <w:right w:w="0" w:type="dxa"/>
                  </w:tcMar>
                  <w:vAlign w:val="center"/>
                </w:tcPr>
                <w:p w14:paraId="751AE4F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3.9</w:t>
                  </w:r>
                </w:p>
              </w:tc>
              <w:tc>
                <w:tcPr>
                  <w:tcW w:w="972" w:type="dxa"/>
                  <w:tcBorders>
                    <w:tl2br w:val="nil"/>
                    <w:tr2bl w:val="nil"/>
                  </w:tcBorders>
                  <w:noWrap w:val="0"/>
                  <w:tcMar>
                    <w:left w:w="0" w:type="dxa"/>
                    <w:right w:w="0" w:type="dxa"/>
                  </w:tcMar>
                  <w:vAlign w:val="center"/>
                </w:tcPr>
                <w:p w14:paraId="2691DAA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4.4</w:t>
                  </w:r>
                </w:p>
              </w:tc>
              <w:tc>
                <w:tcPr>
                  <w:tcW w:w="1085" w:type="dxa"/>
                  <w:vMerge w:val="restart"/>
                  <w:tcBorders>
                    <w:tl2br w:val="nil"/>
                    <w:tr2bl w:val="nil"/>
                  </w:tcBorders>
                  <w:noWrap w:val="0"/>
                  <w:tcMar>
                    <w:left w:w="0" w:type="dxa"/>
                    <w:right w:w="0" w:type="dxa"/>
                  </w:tcMar>
                  <w:vAlign w:val="center"/>
                </w:tcPr>
                <w:p w14:paraId="4CA5052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1.9</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w:t>
                  </w:r>
                  <w:r>
                    <w:rPr>
                      <w:rFonts w:hint="eastAsia" w:eastAsia="宋体" w:cs="Times New Roman"/>
                      <w:i w:val="0"/>
                      <w:color w:val="auto"/>
                      <w:kern w:val="0"/>
                      <w:sz w:val="21"/>
                      <w:szCs w:val="21"/>
                      <w:u w:val="none"/>
                      <w:vertAlign w:val="superscript"/>
                      <w:lang w:val="en-US" w:eastAsia="zh-CN" w:bidi="ar"/>
                    </w:rPr>
                    <w:t>3</w:t>
                  </w:r>
                </w:p>
              </w:tc>
            </w:tr>
            <w:tr w14:paraId="3305C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383DD8DB">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22338359">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568796EF">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7DF6E5C6">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064" w:type="dxa"/>
                  <w:tcBorders>
                    <w:tl2br w:val="nil"/>
                    <w:tr2bl w:val="nil"/>
                  </w:tcBorders>
                  <w:noWrap w:val="0"/>
                  <w:tcMar>
                    <w:left w:w="0" w:type="dxa"/>
                    <w:right w:w="0" w:type="dxa"/>
                  </w:tcMar>
                  <w:vAlign w:val="center"/>
                </w:tcPr>
                <w:p w14:paraId="38F43C4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446</w:t>
                  </w:r>
                </w:p>
              </w:tc>
              <w:tc>
                <w:tcPr>
                  <w:tcW w:w="1007" w:type="dxa"/>
                  <w:tcBorders>
                    <w:tl2br w:val="nil"/>
                    <w:tr2bl w:val="nil"/>
                  </w:tcBorders>
                  <w:noWrap w:val="0"/>
                  <w:tcMar>
                    <w:left w:w="0" w:type="dxa"/>
                    <w:right w:w="0" w:type="dxa"/>
                  </w:tcMar>
                  <w:vAlign w:val="center"/>
                </w:tcPr>
                <w:p w14:paraId="4C77AFC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5.65</w:t>
                  </w:r>
                </w:p>
              </w:tc>
              <w:tc>
                <w:tcPr>
                  <w:tcW w:w="972" w:type="dxa"/>
                  <w:tcBorders>
                    <w:tl2br w:val="nil"/>
                    <w:tr2bl w:val="nil"/>
                  </w:tcBorders>
                  <w:noWrap w:val="0"/>
                  <w:tcMar>
                    <w:left w:w="0" w:type="dxa"/>
                    <w:right w:w="0" w:type="dxa"/>
                  </w:tcMar>
                  <w:vAlign w:val="center"/>
                </w:tcPr>
                <w:p w14:paraId="798CBB3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4.4</w:t>
                  </w:r>
                </w:p>
              </w:tc>
              <w:tc>
                <w:tcPr>
                  <w:tcW w:w="972" w:type="dxa"/>
                  <w:tcBorders>
                    <w:tl2br w:val="nil"/>
                    <w:tr2bl w:val="nil"/>
                  </w:tcBorders>
                  <w:noWrap w:val="0"/>
                  <w:tcMar>
                    <w:left w:w="0" w:type="dxa"/>
                    <w:right w:w="0" w:type="dxa"/>
                  </w:tcMar>
                  <w:vAlign w:val="center"/>
                </w:tcPr>
                <w:p w14:paraId="44DF2EB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5.0</w:t>
                  </w:r>
                </w:p>
              </w:tc>
              <w:tc>
                <w:tcPr>
                  <w:tcW w:w="1085" w:type="dxa"/>
                  <w:vMerge w:val="continue"/>
                  <w:tcBorders>
                    <w:tl2br w:val="nil"/>
                    <w:tr2bl w:val="nil"/>
                  </w:tcBorders>
                  <w:noWrap w:val="0"/>
                  <w:tcMar>
                    <w:left w:w="0" w:type="dxa"/>
                    <w:right w:w="0" w:type="dxa"/>
                  </w:tcMar>
                  <w:vAlign w:val="center"/>
                </w:tcPr>
                <w:p w14:paraId="5B489D3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68480B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19ABB258">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43E40D10">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4A4B689F">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070FA69B">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064" w:type="dxa"/>
                  <w:tcBorders>
                    <w:tl2br w:val="nil"/>
                    <w:tr2bl w:val="nil"/>
                  </w:tcBorders>
                  <w:noWrap w:val="0"/>
                  <w:tcMar>
                    <w:left w:w="0" w:type="dxa"/>
                    <w:right w:w="0" w:type="dxa"/>
                  </w:tcMar>
                  <w:vAlign w:val="center"/>
                </w:tcPr>
                <w:p w14:paraId="4E6AC15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462</w:t>
                  </w:r>
                </w:p>
              </w:tc>
              <w:tc>
                <w:tcPr>
                  <w:tcW w:w="1007" w:type="dxa"/>
                  <w:tcBorders>
                    <w:tl2br w:val="nil"/>
                    <w:tr2bl w:val="nil"/>
                  </w:tcBorders>
                  <w:noWrap w:val="0"/>
                  <w:tcMar>
                    <w:left w:w="0" w:type="dxa"/>
                    <w:right w:w="0" w:type="dxa"/>
                  </w:tcMar>
                  <w:vAlign w:val="center"/>
                </w:tcPr>
                <w:p w14:paraId="7A1DC32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5.63</w:t>
                  </w:r>
                </w:p>
              </w:tc>
              <w:tc>
                <w:tcPr>
                  <w:tcW w:w="972" w:type="dxa"/>
                  <w:tcBorders>
                    <w:tl2br w:val="nil"/>
                    <w:tr2bl w:val="nil"/>
                  </w:tcBorders>
                  <w:noWrap w:val="0"/>
                  <w:tcMar>
                    <w:left w:w="0" w:type="dxa"/>
                    <w:right w:w="0" w:type="dxa"/>
                  </w:tcMar>
                  <w:vAlign w:val="center"/>
                </w:tcPr>
                <w:p w14:paraId="06DF93B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4.1</w:t>
                  </w:r>
                </w:p>
              </w:tc>
              <w:tc>
                <w:tcPr>
                  <w:tcW w:w="972" w:type="dxa"/>
                  <w:tcBorders>
                    <w:tl2br w:val="nil"/>
                    <w:tr2bl w:val="nil"/>
                  </w:tcBorders>
                  <w:noWrap w:val="0"/>
                  <w:tcMar>
                    <w:left w:w="0" w:type="dxa"/>
                    <w:right w:w="0" w:type="dxa"/>
                  </w:tcMar>
                  <w:vAlign w:val="center"/>
                </w:tcPr>
                <w:p w14:paraId="1635ED5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w:t>
                  </w:r>
                </w:p>
              </w:tc>
              <w:tc>
                <w:tcPr>
                  <w:tcW w:w="1085" w:type="dxa"/>
                  <w:vMerge w:val="continue"/>
                  <w:tcBorders>
                    <w:tl2br w:val="nil"/>
                    <w:tr2bl w:val="nil"/>
                  </w:tcBorders>
                  <w:noWrap w:val="0"/>
                  <w:tcMar>
                    <w:left w:w="0" w:type="dxa"/>
                    <w:right w:w="0" w:type="dxa"/>
                  </w:tcMar>
                  <w:vAlign w:val="center"/>
                </w:tcPr>
                <w:p w14:paraId="3733383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22B68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29D9033C">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4C30B4E4">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14F1E65E">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30C0D84D">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064" w:type="dxa"/>
                  <w:tcBorders>
                    <w:tl2br w:val="nil"/>
                    <w:tr2bl w:val="nil"/>
                  </w:tcBorders>
                  <w:noWrap w:val="0"/>
                  <w:tcMar>
                    <w:left w:w="0" w:type="dxa"/>
                    <w:right w:w="0" w:type="dxa"/>
                  </w:tcMar>
                  <w:vAlign w:val="center"/>
                </w:tcPr>
                <w:p w14:paraId="64BEFD6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average(E3:E5)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457</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007" w:type="dxa"/>
                  <w:tcBorders>
                    <w:tl2br w:val="nil"/>
                    <w:tr2bl w:val="nil"/>
                  </w:tcBorders>
                  <w:noWrap w:val="0"/>
                  <w:tcMar>
                    <w:left w:w="0" w:type="dxa"/>
                    <w:right w:w="0" w:type="dxa"/>
                  </w:tcMar>
                  <w:vAlign w:val="center"/>
                </w:tcPr>
                <w:p w14:paraId="3AC7EE4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average(F3:F5)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5.6</w:t>
                  </w:r>
                  <w:r>
                    <w:rPr>
                      <w:rFonts w:hint="eastAsia" w:eastAsia="宋体" w:cs="Times New Roman"/>
                      <w:i w:val="0"/>
                      <w:color w:val="auto"/>
                      <w:kern w:val="0"/>
                      <w:sz w:val="21"/>
                      <w:szCs w:val="21"/>
                      <w:u w:val="none"/>
                      <w:lang w:val="en-US" w:eastAsia="zh-CN" w:bidi="ar"/>
                    </w:rPr>
                    <w:t>3</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4CA2923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average(G3:G5)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4.1</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6F52E7D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w:t>
                  </w:r>
                </w:p>
              </w:tc>
              <w:tc>
                <w:tcPr>
                  <w:tcW w:w="1085" w:type="dxa"/>
                  <w:vMerge w:val="continue"/>
                  <w:tcBorders>
                    <w:tl2br w:val="nil"/>
                    <w:tr2bl w:val="nil"/>
                  </w:tcBorders>
                  <w:noWrap w:val="0"/>
                  <w:tcMar>
                    <w:left w:w="0" w:type="dxa"/>
                    <w:right w:w="0" w:type="dxa"/>
                  </w:tcMar>
                  <w:vAlign w:val="center"/>
                </w:tcPr>
                <w:p w14:paraId="5ACB6CD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3D5A02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41E3C8F4">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007" w:type="dxa"/>
                  <w:vMerge w:val="continue"/>
                  <w:tcBorders>
                    <w:tl2br w:val="nil"/>
                    <w:tr2bl w:val="nil"/>
                  </w:tcBorders>
                  <w:noWrap w:val="0"/>
                  <w:vAlign w:val="center"/>
                </w:tcPr>
                <w:p w14:paraId="3D15006B">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restart"/>
                  <w:tcBorders>
                    <w:tl2br w:val="nil"/>
                    <w:tr2bl w:val="nil"/>
                  </w:tcBorders>
                  <w:noWrap w:val="0"/>
                  <w:tcMar>
                    <w:left w:w="0" w:type="dxa"/>
                    <w:right w:w="0" w:type="dxa"/>
                  </w:tcMar>
                  <w:vAlign w:val="center"/>
                </w:tcPr>
                <w:p w14:paraId="2FD159EC">
                  <w:pPr>
                    <w:jc w:val="center"/>
                    <w:rPr>
                      <w:rFonts w:hint="default" w:ascii="Times New Roman" w:hAnsi="Times New Roman" w:cs="Times New Roman"/>
                      <w:sz w:val="21"/>
                      <w:szCs w:val="21"/>
                    </w:rPr>
                  </w:pPr>
                  <w:r>
                    <w:rPr>
                      <w:color w:val="auto"/>
                      <w:sz w:val="21"/>
                      <w:szCs w:val="21"/>
                    </w:rPr>
                    <w:t>二氧化硫</w:t>
                  </w:r>
                </w:p>
              </w:tc>
              <w:tc>
                <w:tcPr>
                  <w:tcW w:w="950" w:type="dxa"/>
                  <w:tcBorders>
                    <w:tl2br w:val="nil"/>
                    <w:tr2bl w:val="nil"/>
                  </w:tcBorders>
                  <w:noWrap w:val="0"/>
                  <w:tcMar>
                    <w:left w:w="0" w:type="dxa"/>
                    <w:right w:w="0" w:type="dxa"/>
                  </w:tcMar>
                  <w:vAlign w:val="center"/>
                </w:tcPr>
                <w:p w14:paraId="3A48ECEE">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064" w:type="dxa"/>
                  <w:tcBorders>
                    <w:tl2br w:val="nil"/>
                    <w:tr2bl w:val="nil"/>
                  </w:tcBorders>
                  <w:noWrap w:val="0"/>
                  <w:tcMar>
                    <w:left w:w="0" w:type="dxa"/>
                    <w:right w:w="0" w:type="dxa"/>
                  </w:tcMar>
                  <w:vAlign w:val="center"/>
                </w:tcPr>
                <w:p w14:paraId="477E678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463</w:t>
                  </w:r>
                </w:p>
              </w:tc>
              <w:tc>
                <w:tcPr>
                  <w:tcW w:w="1007" w:type="dxa"/>
                  <w:tcBorders>
                    <w:tl2br w:val="nil"/>
                    <w:tr2bl w:val="nil"/>
                  </w:tcBorders>
                  <w:noWrap w:val="0"/>
                  <w:tcMar>
                    <w:left w:w="0" w:type="dxa"/>
                    <w:right w:w="0" w:type="dxa"/>
                  </w:tcMar>
                  <w:vAlign w:val="center"/>
                </w:tcPr>
                <w:p w14:paraId="2B02870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5.60</w:t>
                  </w:r>
                </w:p>
              </w:tc>
              <w:tc>
                <w:tcPr>
                  <w:tcW w:w="972" w:type="dxa"/>
                  <w:tcBorders>
                    <w:tl2br w:val="nil"/>
                    <w:tr2bl w:val="nil"/>
                  </w:tcBorders>
                  <w:noWrap w:val="0"/>
                  <w:tcMar>
                    <w:left w:w="0" w:type="dxa"/>
                    <w:right w:w="0" w:type="dxa"/>
                  </w:tcMar>
                  <w:vAlign w:val="center"/>
                </w:tcPr>
                <w:p w14:paraId="643B5C7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972" w:type="dxa"/>
                  <w:tcBorders>
                    <w:tl2br w:val="nil"/>
                    <w:tr2bl w:val="nil"/>
                  </w:tcBorders>
                  <w:noWrap w:val="0"/>
                  <w:tcMar>
                    <w:left w:w="0" w:type="dxa"/>
                    <w:right w:w="0" w:type="dxa"/>
                  </w:tcMar>
                  <w:vAlign w:val="center"/>
                </w:tcPr>
                <w:p w14:paraId="709B325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1085" w:type="dxa"/>
                  <w:vMerge w:val="restart"/>
                  <w:tcBorders>
                    <w:tl2br w:val="nil"/>
                    <w:tr2bl w:val="nil"/>
                  </w:tcBorders>
                  <w:noWrap w:val="0"/>
                  <w:tcMar>
                    <w:left w:w="0" w:type="dxa"/>
                    <w:right w:w="0" w:type="dxa"/>
                  </w:tcMar>
                  <w:vAlign w:val="center"/>
                </w:tcPr>
                <w:p w14:paraId="22D8298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1.4</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w:t>
                  </w:r>
                  <w:r>
                    <w:rPr>
                      <w:rFonts w:hint="eastAsia" w:eastAsia="宋体" w:cs="Times New Roman"/>
                      <w:i w:val="0"/>
                      <w:color w:val="auto"/>
                      <w:kern w:val="0"/>
                      <w:sz w:val="21"/>
                      <w:szCs w:val="21"/>
                      <w:u w:val="none"/>
                      <w:vertAlign w:val="superscript"/>
                      <w:lang w:val="en-US" w:eastAsia="zh-CN" w:bidi="ar"/>
                    </w:rPr>
                    <w:t>4</w:t>
                  </w:r>
                </w:p>
              </w:tc>
            </w:tr>
            <w:tr w14:paraId="7930C5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68678C8B">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02150FC0">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79F3D5AC">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3A3F6E8C">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064" w:type="dxa"/>
                  <w:tcBorders>
                    <w:tl2br w:val="nil"/>
                    <w:tr2bl w:val="nil"/>
                  </w:tcBorders>
                  <w:noWrap w:val="0"/>
                  <w:tcMar>
                    <w:left w:w="0" w:type="dxa"/>
                    <w:right w:w="0" w:type="dxa"/>
                  </w:tcMar>
                  <w:vAlign w:val="center"/>
                </w:tcPr>
                <w:p w14:paraId="2C8653D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446</w:t>
                  </w:r>
                </w:p>
              </w:tc>
              <w:tc>
                <w:tcPr>
                  <w:tcW w:w="1007" w:type="dxa"/>
                  <w:tcBorders>
                    <w:tl2br w:val="nil"/>
                    <w:tr2bl w:val="nil"/>
                  </w:tcBorders>
                  <w:noWrap w:val="0"/>
                  <w:tcMar>
                    <w:left w:w="0" w:type="dxa"/>
                    <w:right w:w="0" w:type="dxa"/>
                  </w:tcMar>
                  <w:vAlign w:val="center"/>
                </w:tcPr>
                <w:p w14:paraId="43B40E9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5.65</w:t>
                  </w:r>
                </w:p>
              </w:tc>
              <w:tc>
                <w:tcPr>
                  <w:tcW w:w="972" w:type="dxa"/>
                  <w:tcBorders>
                    <w:tl2br w:val="nil"/>
                    <w:tr2bl w:val="nil"/>
                  </w:tcBorders>
                  <w:noWrap w:val="0"/>
                  <w:tcMar>
                    <w:left w:w="0" w:type="dxa"/>
                    <w:right w:w="0" w:type="dxa"/>
                  </w:tcMar>
                  <w:vAlign w:val="center"/>
                </w:tcPr>
                <w:p w14:paraId="312C6B1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972" w:type="dxa"/>
                  <w:tcBorders>
                    <w:tl2br w:val="nil"/>
                    <w:tr2bl w:val="nil"/>
                  </w:tcBorders>
                  <w:noWrap w:val="0"/>
                  <w:tcMar>
                    <w:left w:w="0" w:type="dxa"/>
                    <w:right w:w="0" w:type="dxa"/>
                  </w:tcMar>
                  <w:vAlign w:val="center"/>
                </w:tcPr>
                <w:p w14:paraId="063A45C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1085" w:type="dxa"/>
                  <w:vMerge w:val="continue"/>
                  <w:tcBorders>
                    <w:tl2br w:val="nil"/>
                    <w:tr2bl w:val="nil"/>
                  </w:tcBorders>
                  <w:noWrap w:val="0"/>
                  <w:tcMar>
                    <w:left w:w="0" w:type="dxa"/>
                    <w:right w:w="0" w:type="dxa"/>
                  </w:tcMar>
                  <w:vAlign w:val="center"/>
                </w:tcPr>
                <w:p w14:paraId="76320CD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0A579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43B1162F">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1007" w:type="dxa"/>
                  <w:vMerge w:val="continue"/>
                  <w:tcBorders>
                    <w:tl2br w:val="nil"/>
                    <w:tr2bl w:val="nil"/>
                  </w:tcBorders>
                  <w:noWrap w:val="0"/>
                  <w:vAlign w:val="center"/>
                </w:tcPr>
                <w:p w14:paraId="6C21FD02">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1007" w:type="dxa"/>
                  <w:vMerge w:val="continue"/>
                  <w:tcBorders>
                    <w:tl2br w:val="nil"/>
                    <w:tr2bl w:val="nil"/>
                  </w:tcBorders>
                  <w:noWrap w:val="0"/>
                  <w:tcMar>
                    <w:left w:w="0" w:type="dxa"/>
                    <w:right w:w="0" w:type="dxa"/>
                  </w:tcMar>
                  <w:vAlign w:val="center"/>
                </w:tcPr>
                <w:p w14:paraId="305CB141">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351AE25D">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064" w:type="dxa"/>
                  <w:tcBorders>
                    <w:tl2br w:val="nil"/>
                    <w:tr2bl w:val="nil"/>
                  </w:tcBorders>
                  <w:noWrap w:val="0"/>
                  <w:tcMar>
                    <w:left w:w="0" w:type="dxa"/>
                    <w:right w:w="0" w:type="dxa"/>
                  </w:tcMar>
                  <w:vAlign w:val="center"/>
                </w:tcPr>
                <w:p w14:paraId="033FC31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462</w:t>
                  </w:r>
                </w:p>
              </w:tc>
              <w:tc>
                <w:tcPr>
                  <w:tcW w:w="1007" w:type="dxa"/>
                  <w:tcBorders>
                    <w:tl2br w:val="nil"/>
                    <w:tr2bl w:val="nil"/>
                  </w:tcBorders>
                  <w:noWrap w:val="0"/>
                  <w:tcMar>
                    <w:left w:w="0" w:type="dxa"/>
                    <w:right w:w="0" w:type="dxa"/>
                  </w:tcMar>
                  <w:vAlign w:val="center"/>
                </w:tcPr>
                <w:p w14:paraId="469DC6A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5.63</w:t>
                  </w:r>
                </w:p>
              </w:tc>
              <w:tc>
                <w:tcPr>
                  <w:tcW w:w="972" w:type="dxa"/>
                  <w:tcBorders>
                    <w:tl2br w:val="nil"/>
                    <w:tr2bl w:val="nil"/>
                  </w:tcBorders>
                  <w:noWrap w:val="0"/>
                  <w:tcMar>
                    <w:left w:w="0" w:type="dxa"/>
                    <w:right w:w="0" w:type="dxa"/>
                  </w:tcMar>
                  <w:vAlign w:val="center"/>
                </w:tcPr>
                <w:p w14:paraId="5612606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972" w:type="dxa"/>
                  <w:tcBorders>
                    <w:tl2br w:val="nil"/>
                    <w:tr2bl w:val="nil"/>
                  </w:tcBorders>
                  <w:noWrap w:val="0"/>
                  <w:tcMar>
                    <w:left w:w="0" w:type="dxa"/>
                    <w:right w:w="0" w:type="dxa"/>
                  </w:tcMar>
                  <w:vAlign w:val="center"/>
                </w:tcPr>
                <w:p w14:paraId="40E2BDE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1085" w:type="dxa"/>
                  <w:vMerge w:val="continue"/>
                  <w:tcBorders>
                    <w:tl2br w:val="nil"/>
                    <w:tr2bl w:val="nil"/>
                  </w:tcBorders>
                  <w:noWrap w:val="0"/>
                  <w:tcMar>
                    <w:left w:w="0" w:type="dxa"/>
                    <w:right w:w="0" w:type="dxa"/>
                  </w:tcMar>
                  <w:vAlign w:val="center"/>
                </w:tcPr>
                <w:p w14:paraId="4E5D3DC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E6F1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44CC1781">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4FDEBA92">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1EEDA242">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1355AEB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064" w:type="dxa"/>
                  <w:tcBorders>
                    <w:tl2br w:val="nil"/>
                    <w:tr2bl w:val="nil"/>
                  </w:tcBorders>
                  <w:noWrap w:val="0"/>
                  <w:tcMar>
                    <w:left w:w="0" w:type="dxa"/>
                    <w:right w:w="0" w:type="dxa"/>
                  </w:tcMar>
                  <w:vAlign w:val="center"/>
                </w:tcPr>
                <w:p w14:paraId="0E6A43C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average(E3:E5)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457</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007" w:type="dxa"/>
                  <w:tcBorders>
                    <w:tl2br w:val="nil"/>
                    <w:tr2bl w:val="nil"/>
                  </w:tcBorders>
                  <w:noWrap w:val="0"/>
                  <w:tcMar>
                    <w:left w:w="0" w:type="dxa"/>
                    <w:right w:w="0" w:type="dxa"/>
                  </w:tcMar>
                  <w:vAlign w:val="center"/>
                </w:tcPr>
                <w:p w14:paraId="604D6E5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average(F3:F5)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5.6</w:t>
                  </w:r>
                  <w:r>
                    <w:rPr>
                      <w:rFonts w:hint="eastAsia" w:eastAsia="宋体" w:cs="Times New Roman"/>
                      <w:i w:val="0"/>
                      <w:color w:val="auto"/>
                      <w:kern w:val="0"/>
                      <w:sz w:val="21"/>
                      <w:szCs w:val="21"/>
                      <w:u w:val="none"/>
                      <w:lang w:val="en-US" w:eastAsia="zh-CN" w:bidi="ar"/>
                    </w:rPr>
                    <w:t>3</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31E848B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972" w:type="dxa"/>
                  <w:tcBorders>
                    <w:tl2br w:val="nil"/>
                    <w:tr2bl w:val="nil"/>
                  </w:tcBorders>
                  <w:noWrap w:val="0"/>
                  <w:tcMar>
                    <w:left w:w="0" w:type="dxa"/>
                    <w:right w:w="0" w:type="dxa"/>
                  </w:tcMar>
                  <w:vAlign w:val="center"/>
                </w:tcPr>
                <w:p w14:paraId="1B22E6C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1085" w:type="dxa"/>
                  <w:vMerge w:val="continue"/>
                  <w:tcBorders>
                    <w:tl2br w:val="nil"/>
                    <w:tr2bl w:val="nil"/>
                  </w:tcBorders>
                  <w:noWrap w:val="0"/>
                  <w:tcMar>
                    <w:left w:w="0" w:type="dxa"/>
                    <w:right w:w="0" w:type="dxa"/>
                  </w:tcMar>
                  <w:vAlign w:val="center"/>
                </w:tcPr>
                <w:p w14:paraId="6269CEF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4110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73663149">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007" w:type="dxa"/>
                  <w:vMerge w:val="continue"/>
                  <w:tcBorders>
                    <w:tl2br w:val="nil"/>
                    <w:tr2bl w:val="nil"/>
                  </w:tcBorders>
                  <w:noWrap w:val="0"/>
                  <w:vAlign w:val="center"/>
                </w:tcPr>
                <w:p w14:paraId="5795AE44">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restart"/>
                  <w:tcBorders>
                    <w:tl2br w:val="nil"/>
                    <w:tr2bl w:val="nil"/>
                  </w:tcBorders>
                  <w:noWrap w:val="0"/>
                  <w:tcMar>
                    <w:left w:w="0" w:type="dxa"/>
                    <w:right w:w="0" w:type="dxa"/>
                  </w:tcMar>
                  <w:vAlign w:val="center"/>
                </w:tcPr>
                <w:p w14:paraId="53A08D5A">
                  <w:pPr>
                    <w:jc w:val="center"/>
                    <w:rPr>
                      <w:rFonts w:hint="default" w:ascii="Times New Roman" w:hAnsi="Times New Roman" w:cs="Times New Roman"/>
                      <w:sz w:val="21"/>
                      <w:szCs w:val="21"/>
                      <w:lang w:val="en-US" w:eastAsia="zh-CN"/>
                    </w:rPr>
                  </w:pPr>
                  <w:r>
                    <w:rPr>
                      <w:rFonts w:hint="eastAsia" w:eastAsia="宋体"/>
                      <w:color w:val="auto"/>
                      <w:sz w:val="21"/>
                      <w:szCs w:val="21"/>
                      <w:lang w:eastAsia="zh-CN"/>
                    </w:rPr>
                    <w:t>氮氧化物</w:t>
                  </w:r>
                </w:p>
              </w:tc>
              <w:tc>
                <w:tcPr>
                  <w:tcW w:w="950" w:type="dxa"/>
                  <w:tcBorders>
                    <w:tl2br w:val="nil"/>
                    <w:tr2bl w:val="nil"/>
                  </w:tcBorders>
                  <w:noWrap w:val="0"/>
                  <w:tcMar>
                    <w:left w:w="0" w:type="dxa"/>
                    <w:right w:w="0" w:type="dxa"/>
                  </w:tcMar>
                  <w:vAlign w:val="center"/>
                </w:tcPr>
                <w:p w14:paraId="44DF54A7">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064" w:type="dxa"/>
                  <w:tcBorders>
                    <w:tl2br w:val="nil"/>
                    <w:tr2bl w:val="nil"/>
                  </w:tcBorders>
                  <w:noWrap w:val="0"/>
                  <w:tcMar>
                    <w:left w:w="0" w:type="dxa"/>
                    <w:right w:w="0" w:type="dxa"/>
                  </w:tcMar>
                  <w:vAlign w:val="center"/>
                </w:tcPr>
                <w:p w14:paraId="145053C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463</w:t>
                  </w:r>
                </w:p>
              </w:tc>
              <w:tc>
                <w:tcPr>
                  <w:tcW w:w="1007" w:type="dxa"/>
                  <w:tcBorders>
                    <w:tl2br w:val="nil"/>
                    <w:tr2bl w:val="nil"/>
                  </w:tcBorders>
                  <w:noWrap w:val="0"/>
                  <w:tcMar>
                    <w:left w:w="0" w:type="dxa"/>
                    <w:right w:w="0" w:type="dxa"/>
                  </w:tcMar>
                  <w:vAlign w:val="center"/>
                </w:tcPr>
                <w:p w14:paraId="393AC68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5.60</w:t>
                  </w:r>
                </w:p>
              </w:tc>
              <w:tc>
                <w:tcPr>
                  <w:tcW w:w="972" w:type="dxa"/>
                  <w:tcBorders>
                    <w:tl2br w:val="nil"/>
                    <w:tr2bl w:val="nil"/>
                  </w:tcBorders>
                  <w:noWrap w:val="0"/>
                  <w:tcMar>
                    <w:left w:w="0" w:type="dxa"/>
                    <w:right w:w="0" w:type="dxa"/>
                  </w:tcMar>
                  <w:vAlign w:val="center"/>
                </w:tcPr>
                <w:p w14:paraId="5C29C23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93</w:t>
                  </w:r>
                </w:p>
              </w:tc>
              <w:tc>
                <w:tcPr>
                  <w:tcW w:w="972" w:type="dxa"/>
                  <w:tcBorders>
                    <w:tl2br w:val="nil"/>
                    <w:tr2bl w:val="nil"/>
                  </w:tcBorders>
                  <w:noWrap w:val="0"/>
                  <w:tcMar>
                    <w:left w:w="0" w:type="dxa"/>
                    <w:right w:w="0" w:type="dxa"/>
                  </w:tcMar>
                  <w:vAlign w:val="center"/>
                </w:tcPr>
                <w:p w14:paraId="104924D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106</w:t>
                  </w:r>
                </w:p>
              </w:tc>
              <w:tc>
                <w:tcPr>
                  <w:tcW w:w="1085" w:type="dxa"/>
                  <w:vMerge w:val="restart"/>
                  <w:tcBorders>
                    <w:tl2br w:val="nil"/>
                    <w:tr2bl w:val="nil"/>
                  </w:tcBorders>
                  <w:noWrap w:val="0"/>
                  <w:tcMar>
                    <w:left w:w="0" w:type="dxa"/>
                    <w:right w:w="0" w:type="dxa"/>
                  </w:tcMar>
                  <w:vAlign w:val="center"/>
                </w:tcPr>
                <w:p w14:paraId="46AD3EE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4.2</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-2</w:t>
                  </w:r>
                </w:p>
              </w:tc>
            </w:tr>
            <w:tr w14:paraId="7FA7E7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14E4ADC8">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2C4602AD">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2F1BEECC">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03DB3A85">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064" w:type="dxa"/>
                  <w:tcBorders>
                    <w:tl2br w:val="nil"/>
                    <w:tr2bl w:val="nil"/>
                  </w:tcBorders>
                  <w:noWrap w:val="0"/>
                  <w:tcMar>
                    <w:left w:w="0" w:type="dxa"/>
                    <w:right w:w="0" w:type="dxa"/>
                  </w:tcMar>
                  <w:vAlign w:val="center"/>
                </w:tcPr>
                <w:p w14:paraId="0385D1E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446</w:t>
                  </w:r>
                </w:p>
              </w:tc>
              <w:tc>
                <w:tcPr>
                  <w:tcW w:w="1007" w:type="dxa"/>
                  <w:tcBorders>
                    <w:tl2br w:val="nil"/>
                    <w:tr2bl w:val="nil"/>
                  </w:tcBorders>
                  <w:noWrap w:val="0"/>
                  <w:tcMar>
                    <w:left w:w="0" w:type="dxa"/>
                    <w:right w:w="0" w:type="dxa"/>
                  </w:tcMar>
                  <w:vAlign w:val="center"/>
                </w:tcPr>
                <w:p w14:paraId="1CC31B8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5.65</w:t>
                  </w:r>
                </w:p>
              </w:tc>
              <w:tc>
                <w:tcPr>
                  <w:tcW w:w="972" w:type="dxa"/>
                  <w:tcBorders>
                    <w:tl2br w:val="nil"/>
                    <w:tr2bl w:val="nil"/>
                  </w:tcBorders>
                  <w:noWrap w:val="0"/>
                  <w:tcMar>
                    <w:left w:w="0" w:type="dxa"/>
                    <w:right w:w="0" w:type="dxa"/>
                  </w:tcMar>
                  <w:vAlign w:val="center"/>
                </w:tcPr>
                <w:p w14:paraId="79D2639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89</w:t>
                  </w:r>
                </w:p>
              </w:tc>
              <w:tc>
                <w:tcPr>
                  <w:tcW w:w="972" w:type="dxa"/>
                  <w:tcBorders>
                    <w:tl2br w:val="nil"/>
                    <w:tr2bl w:val="nil"/>
                  </w:tcBorders>
                  <w:noWrap w:val="0"/>
                  <w:tcMar>
                    <w:left w:w="0" w:type="dxa"/>
                    <w:right w:w="0" w:type="dxa"/>
                  </w:tcMar>
                  <w:vAlign w:val="center"/>
                </w:tcPr>
                <w:p w14:paraId="374B491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101</w:t>
                  </w:r>
                </w:p>
              </w:tc>
              <w:tc>
                <w:tcPr>
                  <w:tcW w:w="1085" w:type="dxa"/>
                  <w:vMerge w:val="continue"/>
                  <w:tcBorders>
                    <w:tl2br w:val="nil"/>
                    <w:tr2bl w:val="nil"/>
                  </w:tcBorders>
                  <w:noWrap w:val="0"/>
                  <w:tcMar>
                    <w:left w:w="0" w:type="dxa"/>
                    <w:right w:w="0" w:type="dxa"/>
                  </w:tcMar>
                  <w:vAlign w:val="center"/>
                </w:tcPr>
                <w:p w14:paraId="139669F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127D4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10A2D093">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50FDFC4A">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013F6A64">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536CDE11">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064" w:type="dxa"/>
                  <w:tcBorders>
                    <w:tl2br w:val="nil"/>
                    <w:tr2bl w:val="nil"/>
                  </w:tcBorders>
                  <w:noWrap w:val="0"/>
                  <w:tcMar>
                    <w:left w:w="0" w:type="dxa"/>
                    <w:right w:w="0" w:type="dxa"/>
                  </w:tcMar>
                  <w:vAlign w:val="center"/>
                </w:tcPr>
                <w:p w14:paraId="78C5621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462</w:t>
                  </w:r>
                </w:p>
              </w:tc>
              <w:tc>
                <w:tcPr>
                  <w:tcW w:w="1007" w:type="dxa"/>
                  <w:tcBorders>
                    <w:tl2br w:val="nil"/>
                    <w:tr2bl w:val="nil"/>
                  </w:tcBorders>
                  <w:noWrap w:val="0"/>
                  <w:tcMar>
                    <w:left w:w="0" w:type="dxa"/>
                    <w:right w:w="0" w:type="dxa"/>
                  </w:tcMar>
                  <w:vAlign w:val="center"/>
                </w:tcPr>
                <w:p w14:paraId="44A5FFD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5.63</w:t>
                  </w:r>
                </w:p>
              </w:tc>
              <w:tc>
                <w:tcPr>
                  <w:tcW w:w="972" w:type="dxa"/>
                  <w:tcBorders>
                    <w:tl2br w:val="nil"/>
                    <w:tr2bl w:val="nil"/>
                  </w:tcBorders>
                  <w:noWrap w:val="0"/>
                  <w:tcMar>
                    <w:left w:w="0" w:type="dxa"/>
                    <w:right w:w="0" w:type="dxa"/>
                  </w:tcMar>
                  <w:vAlign w:val="center"/>
                </w:tcPr>
                <w:p w14:paraId="4852FB2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91</w:t>
                  </w:r>
                </w:p>
              </w:tc>
              <w:tc>
                <w:tcPr>
                  <w:tcW w:w="972" w:type="dxa"/>
                  <w:tcBorders>
                    <w:tl2br w:val="nil"/>
                    <w:tr2bl w:val="nil"/>
                  </w:tcBorders>
                  <w:noWrap w:val="0"/>
                  <w:tcMar>
                    <w:left w:w="0" w:type="dxa"/>
                    <w:right w:w="0" w:type="dxa"/>
                  </w:tcMar>
                  <w:vAlign w:val="center"/>
                </w:tcPr>
                <w:p w14:paraId="4BA7B85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104</w:t>
                  </w:r>
                </w:p>
              </w:tc>
              <w:tc>
                <w:tcPr>
                  <w:tcW w:w="1085" w:type="dxa"/>
                  <w:vMerge w:val="continue"/>
                  <w:tcBorders>
                    <w:tl2br w:val="nil"/>
                    <w:tr2bl w:val="nil"/>
                  </w:tcBorders>
                  <w:noWrap w:val="0"/>
                  <w:tcMar>
                    <w:left w:w="0" w:type="dxa"/>
                    <w:right w:w="0" w:type="dxa"/>
                  </w:tcMar>
                  <w:vAlign w:val="center"/>
                </w:tcPr>
                <w:p w14:paraId="66F6D38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44532B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73704876">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703C27B8">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56EB4193">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4A6C5C33">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064" w:type="dxa"/>
                  <w:tcBorders>
                    <w:tl2br w:val="nil"/>
                    <w:tr2bl w:val="nil"/>
                  </w:tcBorders>
                  <w:noWrap w:val="0"/>
                  <w:tcMar>
                    <w:left w:w="0" w:type="dxa"/>
                    <w:right w:w="0" w:type="dxa"/>
                  </w:tcMar>
                  <w:vAlign w:val="center"/>
                </w:tcPr>
                <w:p w14:paraId="5C14664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average(E3:E5)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457</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007" w:type="dxa"/>
                  <w:tcBorders>
                    <w:tl2br w:val="nil"/>
                    <w:tr2bl w:val="nil"/>
                  </w:tcBorders>
                  <w:noWrap w:val="0"/>
                  <w:tcMar>
                    <w:left w:w="0" w:type="dxa"/>
                    <w:right w:w="0" w:type="dxa"/>
                  </w:tcMar>
                  <w:vAlign w:val="center"/>
                </w:tcPr>
                <w:p w14:paraId="5675B6D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average(F3:F5)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5.6</w:t>
                  </w:r>
                  <w:r>
                    <w:rPr>
                      <w:rFonts w:hint="eastAsia" w:eastAsia="宋体" w:cs="Times New Roman"/>
                      <w:i w:val="0"/>
                      <w:color w:val="auto"/>
                      <w:kern w:val="0"/>
                      <w:sz w:val="21"/>
                      <w:szCs w:val="21"/>
                      <w:u w:val="none"/>
                      <w:lang w:val="en-US" w:eastAsia="zh-CN" w:bidi="ar"/>
                    </w:rPr>
                    <w:t>3</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32D3BFD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91</w:t>
                  </w:r>
                </w:p>
              </w:tc>
              <w:tc>
                <w:tcPr>
                  <w:tcW w:w="972" w:type="dxa"/>
                  <w:tcBorders>
                    <w:tl2br w:val="nil"/>
                    <w:tr2bl w:val="nil"/>
                  </w:tcBorders>
                  <w:noWrap w:val="0"/>
                  <w:tcMar>
                    <w:left w:w="0" w:type="dxa"/>
                    <w:right w:w="0" w:type="dxa"/>
                  </w:tcMar>
                  <w:vAlign w:val="center"/>
                </w:tcPr>
                <w:p w14:paraId="35450BA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104</w:t>
                  </w:r>
                </w:p>
              </w:tc>
              <w:tc>
                <w:tcPr>
                  <w:tcW w:w="1085" w:type="dxa"/>
                  <w:vMerge w:val="continue"/>
                  <w:tcBorders>
                    <w:tl2br w:val="nil"/>
                    <w:tr2bl w:val="nil"/>
                  </w:tcBorders>
                  <w:noWrap w:val="0"/>
                  <w:tcMar>
                    <w:left w:w="0" w:type="dxa"/>
                    <w:right w:w="0" w:type="dxa"/>
                  </w:tcMar>
                  <w:vAlign w:val="center"/>
                </w:tcPr>
                <w:p w14:paraId="457464F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6BDFC9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10047201">
                  <w:pPr>
                    <w:adjustRightInd w:val="0"/>
                    <w:snapToGrid w:val="0"/>
                    <w:spacing w:line="240" w:lineRule="auto"/>
                    <w:jc w:val="center"/>
                    <w:rPr>
                      <w:rFonts w:hint="default" w:ascii="Times New Roman" w:hAnsi="Times New Roman" w:cs="Times New Roman"/>
                      <w:color w:val="auto"/>
                      <w:sz w:val="21"/>
                      <w:szCs w:val="21"/>
                      <w:lang w:val="en-US" w:eastAsia="zh-CN"/>
                    </w:rPr>
                  </w:pPr>
                </w:p>
              </w:tc>
              <w:tc>
                <w:tcPr>
                  <w:tcW w:w="1007" w:type="dxa"/>
                  <w:vMerge w:val="continue"/>
                  <w:tcBorders>
                    <w:tl2br w:val="nil"/>
                    <w:tr2bl w:val="nil"/>
                  </w:tcBorders>
                  <w:noWrap w:val="0"/>
                  <w:vAlign w:val="center"/>
                </w:tcPr>
                <w:p w14:paraId="487BB355">
                  <w:pPr>
                    <w:adjustRightInd w:val="0"/>
                    <w:snapToGrid w:val="0"/>
                    <w:spacing w:line="240" w:lineRule="auto"/>
                    <w:jc w:val="center"/>
                    <w:rPr>
                      <w:rFonts w:hint="default" w:ascii="Times New Roman" w:hAnsi="Times New Roman" w:cs="Times New Roman"/>
                      <w:color w:val="auto"/>
                      <w:sz w:val="21"/>
                      <w:szCs w:val="21"/>
                    </w:rPr>
                  </w:pPr>
                </w:p>
              </w:tc>
              <w:tc>
                <w:tcPr>
                  <w:tcW w:w="1957" w:type="dxa"/>
                  <w:gridSpan w:val="2"/>
                  <w:tcBorders>
                    <w:tl2br w:val="nil"/>
                    <w:tr2bl w:val="nil"/>
                  </w:tcBorders>
                  <w:noWrap w:val="0"/>
                  <w:tcMar>
                    <w:left w:w="0" w:type="dxa"/>
                    <w:right w:w="0" w:type="dxa"/>
                  </w:tcMar>
                  <w:vAlign w:val="center"/>
                </w:tcPr>
                <w:p w14:paraId="5C6D4728">
                  <w:pPr>
                    <w:adjustRightInd w:val="0"/>
                    <w:snapToGrid w:val="0"/>
                    <w:spacing w:line="240" w:lineRule="auto"/>
                    <w:jc w:val="center"/>
                    <w:rPr>
                      <w:rFonts w:hint="default" w:ascii="Times New Roman" w:hAnsi="Times New Roman" w:cs="Times New Roman"/>
                      <w:color w:val="auto"/>
                      <w:sz w:val="21"/>
                      <w:szCs w:val="21"/>
                    </w:rPr>
                  </w:pPr>
                  <w:r>
                    <w:rPr>
                      <w:rFonts w:hint="eastAsia" w:eastAsia="宋体"/>
                      <w:color w:val="auto"/>
                      <w:sz w:val="21"/>
                      <w:szCs w:val="21"/>
                      <w:lang w:val="en-US" w:eastAsia="zh-CN"/>
                    </w:rPr>
                    <w:t>烟气黑度（级）</w:t>
                  </w:r>
                </w:p>
              </w:tc>
              <w:tc>
                <w:tcPr>
                  <w:tcW w:w="5100" w:type="dxa"/>
                  <w:gridSpan w:val="5"/>
                  <w:tcBorders>
                    <w:tl2br w:val="nil"/>
                    <w:tr2bl w:val="nil"/>
                  </w:tcBorders>
                  <w:noWrap w:val="0"/>
                  <w:tcMar>
                    <w:left w:w="0" w:type="dxa"/>
                    <w:right w:w="0" w:type="dxa"/>
                  </w:tcMar>
                  <w:vAlign w:val="center"/>
                </w:tcPr>
                <w:p w14:paraId="2ECA8E2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w:t>
                  </w:r>
                </w:p>
              </w:tc>
            </w:tr>
            <w:tr w14:paraId="4EF1D4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restart"/>
                  <w:tcBorders>
                    <w:tl2br w:val="nil"/>
                    <w:tr2bl w:val="nil"/>
                  </w:tcBorders>
                  <w:noWrap w:val="0"/>
                  <w:vAlign w:val="center"/>
                </w:tcPr>
                <w:p w14:paraId="293235E1">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default" w:ascii="Times New Roman" w:hAnsi="Times New Roman" w:eastAsia="宋体" w:cs="Times New Roman"/>
                      <w:color w:val="auto"/>
                      <w:spacing w:val="-12"/>
                      <w:sz w:val="21"/>
                      <w:szCs w:val="21"/>
                      <w:lang w:val="en-US" w:eastAsia="zh-CN"/>
                    </w:rPr>
                    <w:t>6</w:t>
                  </w:r>
                </w:p>
                <w:p w14:paraId="602E262A">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default" w:ascii="Times New Roman" w:hAnsi="Times New Roman" w:eastAsia="宋体" w:cs="Times New Roman"/>
                      <w:color w:val="auto"/>
                      <w:spacing w:val="-12"/>
                      <w:sz w:val="21"/>
                      <w:szCs w:val="21"/>
                      <w:lang w:val="en-US" w:eastAsia="zh-CN"/>
                    </w:rPr>
                    <w:t>月</w:t>
                  </w:r>
                </w:p>
                <w:p w14:paraId="597A322C">
                  <w:pPr>
                    <w:snapToGrid w:val="0"/>
                    <w:spacing w:line="360" w:lineRule="auto"/>
                    <w:jc w:val="center"/>
                    <w:rPr>
                      <w:rFonts w:hint="default" w:ascii="Times New Roman" w:hAnsi="Times New Roman" w:eastAsia="宋体" w:cs="Times New Roman"/>
                      <w:color w:val="auto"/>
                      <w:spacing w:val="-12"/>
                      <w:sz w:val="21"/>
                      <w:szCs w:val="21"/>
                      <w:lang w:val="en-US" w:eastAsia="zh-CN"/>
                    </w:rPr>
                  </w:pPr>
                  <w:r>
                    <w:rPr>
                      <w:rFonts w:hint="default" w:ascii="Times New Roman" w:hAnsi="Times New Roman" w:eastAsia="宋体" w:cs="Times New Roman"/>
                      <w:color w:val="auto"/>
                      <w:spacing w:val="-12"/>
                      <w:sz w:val="21"/>
                      <w:szCs w:val="21"/>
                      <w:lang w:val="en-US" w:eastAsia="zh-CN"/>
                    </w:rPr>
                    <w:t>2</w:t>
                  </w:r>
                </w:p>
                <w:p w14:paraId="6A9139A6">
                  <w:pPr>
                    <w:snapToGrid w:val="0"/>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12"/>
                      <w:sz w:val="21"/>
                      <w:szCs w:val="21"/>
                      <w:lang w:val="en-US" w:eastAsia="zh-CN"/>
                    </w:rPr>
                    <w:t>日</w:t>
                  </w:r>
                </w:p>
                <w:p w14:paraId="7A0B634A">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007" w:type="dxa"/>
                  <w:vMerge w:val="restart"/>
                  <w:tcBorders>
                    <w:tl2br w:val="nil"/>
                    <w:tr2bl w:val="nil"/>
                  </w:tcBorders>
                  <w:noWrap w:val="0"/>
                  <w:vAlign w:val="center"/>
                </w:tcPr>
                <w:p w14:paraId="43E6514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lang w:val="en-US" w:eastAsia="zh-CN"/>
                    </w:rPr>
                    <w:t>2#燃油锅炉排气筒出口</w:t>
                  </w:r>
                </w:p>
              </w:tc>
              <w:tc>
                <w:tcPr>
                  <w:tcW w:w="1007" w:type="dxa"/>
                  <w:vMerge w:val="restart"/>
                  <w:tcBorders>
                    <w:tl2br w:val="nil"/>
                    <w:tr2bl w:val="nil"/>
                  </w:tcBorders>
                  <w:noWrap w:val="0"/>
                  <w:tcMar>
                    <w:left w:w="0" w:type="dxa"/>
                    <w:right w:w="0" w:type="dxa"/>
                  </w:tcMar>
                  <w:vAlign w:val="center"/>
                </w:tcPr>
                <w:p w14:paraId="508D091A">
                  <w:pPr>
                    <w:jc w:val="center"/>
                    <w:rPr>
                      <w:rFonts w:hint="default" w:ascii="Times New Roman" w:hAnsi="Times New Roman" w:cs="Times New Roman"/>
                      <w:color w:val="auto"/>
                      <w:sz w:val="21"/>
                      <w:szCs w:val="21"/>
                    </w:rPr>
                  </w:pPr>
                  <w:r>
                    <w:rPr>
                      <w:rFonts w:hint="eastAsia" w:eastAsia="宋体"/>
                      <w:color w:val="auto"/>
                      <w:sz w:val="21"/>
                      <w:szCs w:val="21"/>
                      <w:lang w:eastAsia="zh-CN"/>
                    </w:rPr>
                    <w:t>颗粒物</w:t>
                  </w:r>
                </w:p>
              </w:tc>
              <w:tc>
                <w:tcPr>
                  <w:tcW w:w="950" w:type="dxa"/>
                  <w:tcBorders>
                    <w:tl2br w:val="nil"/>
                    <w:tr2bl w:val="nil"/>
                  </w:tcBorders>
                  <w:noWrap w:val="0"/>
                  <w:tcMar>
                    <w:left w:w="0" w:type="dxa"/>
                    <w:right w:w="0" w:type="dxa"/>
                  </w:tcMar>
                  <w:vAlign w:val="center"/>
                </w:tcPr>
                <w:p w14:paraId="597A813F">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064" w:type="dxa"/>
                  <w:tcBorders>
                    <w:tl2br w:val="nil"/>
                    <w:tr2bl w:val="nil"/>
                  </w:tcBorders>
                  <w:noWrap w:val="0"/>
                  <w:tcMar>
                    <w:left w:w="0" w:type="dxa"/>
                    <w:right w:w="0" w:type="dxa"/>
                  </w:tcMar>
                  <w:vAlign w:val="center"/>
                </w:tcPr>
                <w:p w14:paraId="68A73A4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471</w:t>
                  </w:r>
                </w:p>
              </w:tc>
              <w:tc>
                <w:tcPr>
                  <w:tcW w:w="1007" w:type="dxa"/>
                  <w:tcBorders>
                    <w:tl2br w:val="nil"/>
                    <w:tr2bl w:val="nil"/>
                  </w:tcBorders>
                  <w:noWrap w:val="0"/>
                  <w:tcMar>
                    <w:left w:w="0" w:type="dxa"/>
                    <w:right w:w="0" w:type="dxa"/>
                  </w:tcMar>
                  <w:vAlign w:val="center"/>
                </w:tcPr>
                <w:p w14:paraId="537B64E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7.42</w:t>
                  </w:r>
                </w:p>
              </w:tc>
              <w:tc>
                <w:tcPr>
                  <w:tcW w:w="972" w:type="dxa"/>
                  <w:tcBorders>
                    <w:tl2br w:val="nil"/>
                    <w:tr2bl w:val="nil"/>
                  </w:tcBorders>
                  <w:noWrap w:val="0"/>
                  <w:tcMar>
                    <w:left w:w="0" w:type="dxa"/>
                    <w:right w:w="0" w:type="dxa"/>
                  </w:tcMar>
                  <w:vAlign w:val="center"/>
                </w:tcPr>
                <w:p w14:paraId="5675F83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4.0</w:t>
                  </w:r>
                </w:p>
              </w:tc>
              <w:tc>
                <w:tcPr>
                  <w:tcW w:w="972" w:type="dxa"/>
                  <w:tcBorders>
                    <w:tl2br w:val="nil"/>
                    <w:tr2bl w:val="nil"/>
                  </w:tcBorders>
                  <w:noWrap w:val="0"/>
                  <w:tcMar>
                    <w:left w:w="0" w:type="dxa"/>
                    <w:right w:w="0" w:type="dxa"/>
                  </w:tcMar>
                  <w:vAlign w:val="center"/>
                </w:tcPr>
                <w:p w14:paraId="6FBC645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5.2</w:t>
                  </w:r>
                </w:p>
              </w:tc>
              <w:tc>
                <w:tcPr>
                  <w:tcW w:w="1085" w:type="dxa"/>
                  <w:vMerge w:val="restart"/>
                  <w:tcBorders>
                    <w:tl2br w:val="nil"/>
                    <w:tr2bl w:val="nil"/>
                  </w:tcBorders>
                  <w:noWrap w:val="0"/>
                  <w:tcMar>
                    <w:left w:w="0" w:type="dxa"/>
                    <w:right w:w="0" w:type="dxa"/>
                  </w:tcMar>
                  <w:vAlign w:val="center"/>
                </w:tcPr>
                <w:p w14:paraId="66627C1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1.8</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w:t>
                  </w:r>
                  <w:r>
                    <w:rPr>
                      <w:rFonts w:hint="eastAsia" w:eastAsia="宋体" w:cs="Times New Roman"/>
                      <w:i w:val="0"/>
                      <w:color w:val="auto"/>
                      <w:kern w:val="0"/>
                      <w:sz w:val="21"/>
                      <w:szCs w:val="21"/>
                      <w:u w:val="none"/>
                      <w:vertAlign w:val="superscript"/>
                      <w:lang w:val="en-US" w:eastAsia="zh-CN" w:bidi="ar"/>
                    </w:rPr>
                    <w:t>3</w:t>
                  </w:r>
                </w:p>
              </w:tc>
            </w:tr>
            <w:tr w14:paraId="2298C8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1389DB97">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5D4B68C6">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18F68AF8">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4AE5A944">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064" w:type="dxa"/>
                  <w:tcBorders>
                    <w:tl2br w:val="nil"/>
                    <w:tr2bl w:val="nil"/>
                  </w:tcBorders>
                  <w:noWrap w:val="0"/>
                  <w:tcMar>
                    <w:left w:w="0" w:type="dxa"/>
                    <w:right w:w="0" w:type="dxa"/>
                  </w:tcMar>
                  <w:vAlign w:val="center"/>
                </w:tcPr>
                <w:p w14:paraId="328B469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462</w:t>
                  </w:r>
                </w:p>
              </w:tc>
              <w:tc>
                <w:tcPr>
                  <w:tcW w:w="1007" w:type="dxa"/>
                  <w:tcBorders>
                    <w:tl2br w:val="nil"/>
                    <w:tr2bl w:val="nil"/>
                  </w:tcBorders>
                  <w:noWrap w:val="0"/>
                  <w:tcMar>
                    <w:left w:w="0" w:type="dxa"/>
                    <w:right w:w="0" w:type="dxa"/>
                  </w:tcMar>
                  <w:vAlign w:val="center"/>
                </w:tcPr>
                <w:p w14:paraId="12083A2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7.91</w:t>
                  </w:r>
                </w:p>
              </w:tc>
              <w:tc>
                <w:tcPr>
                  <w:tcW w:w="972" w:type="dxa"/>
                  <w:tcBorders>
                    <w:tl2br w:val="nil"/>
                    <w:tr2bl w:val="nil"/>
                  </w:tcBorders>
                  <w:noWrap w:val="0"/>
                  <w:tcMar>
                    <w:left w:w="0" w:type="dxa"/>
                    <w:right w:w="0" w:type="dxa"/>
                  </w:tcMar>
                  <w:vAlign w:val="center"/>
                </w:tcPr>
                <w:p w14:paraId="3D37C64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3.8</w:t>
                  </w:r>
                </w:p>
              </w:tc>
              <w:tc>
                <w:tcPr>
                  <w:tcW w:w="972" w:type="dxa"/>
                  <w:tcBorders>
                    <w:tl2br w:val="nil"/>
                    <w:tr2bl w:val="nil"/>
                  </w:tcBorders>
                  <w:noWrap w:val="0"/>
                  <w:tcMar>
                    <w:left w:w="0" w:type="dxa"/>
                    <w:right w:w="0" w:type="dxa"/>
                  </w:tcMar>
                  <w:vAlign w:val="center"/>
                </w:tcPr>
                <w:p w14:paraId="46372DE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5.1</w:t>
                  </w:r>
                </w:p>
              </w:tc>
              <w:tc>
                <w:tcPr>
                  <w:tcW w:w="1085" w:type="dxa"/>
                  <w:vMerge w:val="continue"/>
                  <w:tcBorders>
                    <w:tl2br w:val="nil"/>
                    <w:tr2bl w:val="nil"/>
                  </w:tcBorders>
                  <w:noWrap w:val="0"/>
                  <w:tcMar>
                    <w:left w:w="0" w:type="dxa"/>
                    <w:right w:w="0" w:type="dxa"/>
                  </w:tcMar>
                  <w:vAlign w:val="center"/>
                </w:tcPr>
                <w:p w14:paraId="3E11E13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408EA8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50C32BA5">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3BD6980C">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3D1282C3">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2CA3B885">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064" w:type="dxa"/>
                  <w:tcBorders>
                    <w:tl2br w:val="nil"/>
                    <w:tr2bl w:val="nil"/>
                  </w:tcBorders>
                  <w:noWrap w:val="0"/>
                  <w:tcMar>
                    <w:left w:w="0" w:type="dxa"/>
                    <w:right w:w="0" w:type="dxa"/>
                  </w:tcMar>
                  <w:vAlign w:val="center"/>
                </w:tcPr>
                <w:p w14:paraId="4BC043A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477</w:t>
                  </w:r>
                </w:p>
              </w:tc>
              <w:tc>
                <w:tcPr>
                  <w:tcW w:w="1007" w:type="dxa"/>
                  <w:tcBorders>
                    <w:tl2br w:val="nil"/>
                    <w:tr2bl w:val="nil"/>
                  </w:tcBorders>
                  <w:noWrap w:val="0"/>
                  <w:tcMar>
                    <w:left w:w="0" w:type="dxa"/>
                    <w:right w:w="0" w:type="dxa"/>
                  </w:tcMar>
                  <w:vAlign w:val="center"/>
                </w:tcPr>
                <w:p w14:paraId="212F8ED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7.85</w:t>
                  </w:r>
                </w:p>
              </w:tc>
              <w:tc>
                <w:tcPr>
                  <w:tcW w:w="972" w:type="dxa"/>
                  <w:tcBorders>
                    <w:tl2br w:val="nil"/>
                    <w:tr2bl w:val="nil"/>
                  </w:tcBorders>
                  <w:noWrap w:val="0"/>
                  <w:tcMar>
                    <w:left w:w="0" w:type="dxa"/>
                    <w:right w:w="0" w:type="dxa"/>
                  </w:tcMar>
                  <w:vAlign w:val="center"/>
                </w:tcPr>
                <w:p w14:paraId="00E1C44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3.5</w:t>
                  </w:r>
                </w:p>
              </w:tc>
              <w:tc>
                <w:tcPr>
                  <w:tcW w:w="972" w:type="dxa"/>
                  <w:tcBorders>
                    <w:tl2br w:val="nil"/>
                    <w:tr2bl w:val="nil"/>
                  </w:tcBorders>
                  <w:noWrap w:val="0"/>
                  <w:tcMar>
                    <w:left w:w="0" w:type="dxa"/>
                    <w:right w:w="0" w:type="dxa"/>
                  </w:tcMar>
                  <w:vAlign w:val="center"/>
                </w:tcPr>
                <w:p w14:paraId="3D7AEE7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w:t>
                  </w:r>
                </w:p>
              </w:tc>
              <w:tc>
                <w:tcPr>
                  <w:tcW w:w="1085" w:type="dxa"/>
                  <w:vMerge w:val="continue"/>
                  <w:tcBorders>
                    <w:tl2br w:val="nil"/>
                    <w:tr2bl w:val="nil"/>
                  </w:tcBorders>
                  <w:noWrap w:val="0"/>
                  <w:tcMar>
                    <w:left w:w="0" w:type="dxa"/>
                    <w:right w:w="0" w:type="dxa"/>
                  </w:tcMar>
                  <w:vAlign w:val="center"/>
                </w:tcPr>
                <w:p w14:paraId="26BDA1C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0B041C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2DEFC92E">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28D35A9F">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55261A2E">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1B11A2B7">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064" w:type="dxa"/>
                  <w:tcBorders>
                    <w:tl2br w:val="nil"/>
                    <w:tr2bl w:val="nil"/>
                  </w:tcBorders>
                  <w:noWrap w:val="0"/>
                  <w:tcMar>
                    <w:left w:w="0" w:type="dxa"/>
                    <w:right w:w="0" w:type="dxa"/>
                  </w:tcMar>
                  <w:vAlign w:val="center"/>
                </w:tcPr>
                <w:p w14:paraId="791AE4E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average(E16:E18)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470</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007" w:type="dxa"/>
                  <w:tcBorders>
                    <w:tl2br w:val="nil"/>
                    <w:tr2bl w:val="nil"/>
                  </w:tcBorders>
                  <w:noWrap w:val="0"/>
                  <w:tcMar>
                    <w:left w:w="0" w:type="dxa"/>
                    <w:right w:w="0" w:type="dxa"/>
                  </w:tcMar>
                  <w:vAlign w:val="center"/>
                </w:tcPr>
                <w:p w14:paraId="4CFCC40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average(F16:F18)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7.7</w:t>
                  </w:r>
                  <w:r>
                    <w:rPr>
                      <w:rFonts w:hint="eastAsia" w:eastAsia="宋体" w:cs="Times New Roman"/>
                      <w:i w:val="0"/>
                      <w:color w:val="auto"/>
                      <w:kern w:val="0"/>
                      <w:sz w:val="21"/>
                      <w:szCs w:val="21"/>
                      <w:u w:val="none"/>
                      <w:lang w:val="en-US" w:eastAsia="zh-CN" w:bidi="ar"/>
                    </w:rPr>
                    <w:t>3</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7109D2B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average(G16:G18)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3.</w:t>
                  </w:r>
                  <w:r>
                    <w:rPr>
                      <w:rFonts w:hint="eastAsia" w:eastAsia="宋体" w:cs="Times New Roman"/>
                      <w:i w:val="0"/>
                      <w:color w:val="auto"/>
                      <w:kern w:val="0"/>
                      <w:sz w:val="21"/>
                      <w:szCs w:val="21"/>
                      <w:u w:val="none"/>
                      <w:lang w:val="en-US" w:eastAsia="zh-CN" w:bidi="ar"/>
                    </w:rPr>
                    <w:t>8</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4550740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5.0</w:t>
                  </w:r>
                </w:p>
              </w:tc>
              <w:tc>
                <w:tcPr>
                  <w:tcW w:w="1085" w:type="dxa"/>
                  <w:vMerge w:val="continue"/>
                  <w:tcBorders>
                    <w:tl2br w:val="nil"/>
                    <w:tr2bl w:val="nil"/>
                  </w:tcBorders>
                  <w:noWrap w:val="0"/>
                  <w:tcMar>
                    <w:left w:w="0" w:type="dxa"/>
                    <w:right w:w="0" w:type="dxa"/>
                  </w:tcMar>
                  <w:vAlign w:val="center"/>
                </w:tcPr>
                <w:p w14:paraId="69D9F38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177A78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399DA527">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007" w:type="dxa"/>
                  <w:vMerge w:val="continue"/>
                  <w:tcBorders>
                    <w:tl2br w:val="nil"/>
                    <w:tr2bl w:val="nil"/>
                  </w:tcBorders>
                  <w:noWrap w:val="0"/>
                  <w:vAlign w:val="center"/>
                </w:tcPr>
                <w:p w14:paraId="7ACED6AD">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restart"/>
                  <w:tcBorders>
                    <w:tl2br w:val="nil"/>
                    <w:tr2bl w:val="nil"/>
                  </w:tcBorders>
                  <w:noWrap w:val="0"/>
                  <w:tcMar>
                    <w:left w:w="0" w:type="dxa"/>
                    <w:right w:w="0" w:type="dxa"/>
                  </w:tcMar>
                  <w:vAlign w:val="center"/>
                </w:tcPr>
                <w:p w14:paraId="1D5D1B93">
                  <w:pPr>
                    <w:jc w:val="center"/>
                    <w:rPr>
                      <w:rFonts w:hint="default" w:ascii="Times New Roman" w:hAnsi="Times New Roman" w:cs="Times New Roman"/>
                      <w:color w:val="auto"/>
                      <w:sz w:val="21"/>
                      <w:szCs w:val="21"/>
                    </w:rPr>
                  </w:pPr>
                  <w:r>
                    <w:rPr>
                      <w:color w:val="auto"/>
                      <w:sz w:val="21"/>
                      <w:szCs w:val="21"/>
                    </w:rPr>
                    <w:t>二氧化硫</w:t>
                  </w:r>
                </w:p>
              </w:tc>
              <w:tc>
                <w:tcPr>
                  <w:tcW w:w="950" w:type="dxa"/>
                  <w:tcBorders>
                    <w:tl2br w:val="nil"/>
                    <w:tr2bl w:val="nil"/>
                  </w:tcBorders>
                  <w:noWrap w:val="0"/>
                  <w:tcMar>
                    <w:left w:w="0" w:type="dxa"/>
                    <w:right w:w="0" w:type="dxa"/>
                  </w:tcMar>
                  <w:vAlign w:val="center"/>
                </w:tcPr>
                <w:p w14:paraId="46FBA87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064" w:type="dxa"/>
                  <w:tcBorders>
                    <w:tl2br w:val="nil"/>
                    <w:tr2bl w:val="nil"/>
                  </w:tcBorders>
                  <w:noWrap w:val="0"/>
                  <w:tcMar>
                    <w:left w:w="0" w:type="dxa"/>
                    <w:right w:w="0" w:type="dxa"/>
                  </w:tcMar>
                  <w:vAlign w:val="center"/>
                </w:tcPr>
                <w:p w14:paraId="29059A2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471</w:t>
                  </w:r>
                </w:p>
              </w:tc>
              <w:tc>
                <w:tcPr>
                  <w:tcW w:w="1007" w:type="dxa"/>
                  <w:tcBorders>
                    <w:tl2br w:val="nil"/>
                    <w:tr2bl w:val="nil"/>
                  </w:tcBorders>
                  <w:noWrap w:val="0"/>
                  <w:tcMar>
                    <w:left w:w="0" w:type="dxa"/>
                    <w:right w:w="0" w:type="dxa"/>
                  </w:tcMar>
                  <w:vAlign w:val="center"/>
                </w:tcPr>
                <w:p w14:paraId="03567D2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7.42</w:t>
                  </w:r>
                </w:p>
              </w:tc>
              <w:tc>
                <w:tcPr>
                  <w:tcW w:w="972" w:type="dxa"/>
                  <w:tcBorders>
                    <w:tl2br w:val="nil"/>
                    <w:tr2bl w:val="nil"/>
                  </w:tcBorders>
                  <w:noWrap w:val="0"/>
                  <w:tcMar>
                    <w:left w:w="0" w:type="dxa"/>
                    <w:right w:w="0" w:type="dxa"/>
                  </w:tcMar>
                  <w:vAlign w:val="center"/>
                </w:tcPr>
                <w:p w14:paraId="7EC9566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w:t>
                  </w:r>
                </w:p>
              </w:tc>
              <w:tc>
                <w:tcPr>
                  <w:tcW w:w="972" w:type="dxa"/>
                  <w:tcBorders>
                    <w:tl2br w:val="nil"/>
                    <w:tr2bl w:val="nil"/>
                  </w:tcBorders>
                  <w:noWrap w:val="0"/>
                  <w:tcMar>
                    <w:left w:w="0" w:type="dxa"/>
                    <w:right w:w="0" w:type="dxa"/>
                  </w:tcMar>
                  <w:vAlign w:val="center"/>
                </w:tcPr>
                <w:p w14:paraId="3D100BD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w:t>
                  </w:r>
                </w:p>
              </w:tc>
              <w:tc>
                <w:tcPr>
                  <w:tcW w:w="1085" w:type="dxa"/>
                  <w:vMerge w:val="restart"/>
                  <w:tcBorders>
                    <w:tl2br w:val="nil"/>
                    <w:tr2bl w:val="nil"/>
                  </w:tcBorders>
                  <w:noWrap w:val="0"/>
                  <w:tcMar>
                    <w:left w:w="0" w:type="dxa"/>
                    <w:right w:w="0" w:type="dxa"/>
                  </w:tcMar>
                  <w:vAlign w:val="center"/>
                </w:tcPr>
                <w:p w14:paraId="013458F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1.9</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w:t>
                  </w:r>
                  <w:r>
                    <w:rPr>
                      <w:rFonts w:hint="eastAsia" w:eastAsia="宋体" w:cs="Times New Roman"/>
                      <w:i w:val="0"/>
                      <w:color w:val="auto"/>
                      <w:kern w:val="0"/>
                      <w:sz w:val="21"/>
                      <w:szCs w:val="21"/>
                      <w:u w:val="none"/>
                      <w:vertAlign w:val="superscript"/>
                      <w:lang w:val="en-US" w:eastAsia="zh-CN" w:bidi="ar"/>
                    </w:rPr>
                    <w:t>3</w:t>
                  </w:r>
                </w:p>
              </w:tc>
            </w:tr>
            <w:tr w14:paraId="5AD979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04A195ED">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69734FFE">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3AEDE605">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3780DBB1">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064" w:type="dxa"/>
                  <w:tcBorders>
                    <w:tl2br w:val="nil"/>
                    <w:tr2bl w:val="nil"/>
                  </w:tcBorders>
                  <w:noWrap w:val="0"/>
                  <w:tcMar>
                    <w:left w:w="0" w:type="dxa"/>
                    <w:right w:w="0" w:type="dxa"/>
                  </w:tcMar>
                  <w:vAlign w:val="center"/>
                </w:tcPr>
                <w:p w14:paraId="70CA582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462</w:t>
                  </w:r>
                </w:p>
              </w:tc>
              <w:tc>
                <w:tcPr>
                  <w:tcW w:w="1007" w:type="dxa"/>
                  <w:tcBorders>
                    <w:tl2br w:val="nil"/>
                    <w:tr2bl w:val="nil"/>
                  </w:tcBorders>
                  <w:noWrap w:val="0"/>
                  <w:tcMar>
                    <w:left w:w="0" w:type="dxa"/>
                    <w:right w:w="0" w:type="dxa"/>
                  </w:tcMar>
                  <w:vAlign w:val="center"/>
                </w:tcPr>
                <w:p w14:paraId="7BBD0B0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7.91</w:t>
                  </w:r>
                </w:p>
              </w:tc>
              <w:tc>
                <w:tcPr>
                  <w:tcW w:w="972" w:type="dxa"/>
                  <w:tcBorders>
                    <w:tl2br w:val="nil"/>
                    <w:tr2bl w:val="nil"/>
                  </w:tcBorders>
                  <w:noWrap w:val="0"/>
                  <w:tcMar>
                    <w:left w:w="0" w:type="dxa"/>
                    <w:right w:w="0" w:type="dxa"/>
                  </w:tcMar>
                  <w:vAlign w:val="center"/>
                </w:tcPr>
                <w:p w14:paraId="6FEF0C8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w:t>
                  </w:r>
                </w:p>
              </w:tc>
              <w:tc>
                <w:tcPr>
                  <w:tcW w:w="972" w:type="dxa"/>
                  <w:tcBorders>
                    <w:tl2br w:val="nil"/>
                    <w:tr2bl w:val="nil"/>
                  </w:tcBorders>
                  <w:noWrap w:val="0"/>
                  <w:tcMar>
                    <w:left w:w="0" w:type="dxa"/>
                    <w:right w:w="0" w:type="dxa"/>
                  </w:tcMar>
                  <w:vAlign w:val="center"/>
                </w:tcPr>
                <w:p w14:paraId="576E76E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w:t>
                  </w:r>
                </w:p>
              </w:tc>
              <w:tc>
                <w:tcPr>
                  <w:tcW w:w="1085" w:type="dxa"/>
                  <w:vMerge w:val="continue"/>
                  <w:tcBorders>
                    <w:tl2br w:val="nil"/>
                    <w:tr2bl w:val="nil"/>
                  </w:tcBorders>
                  <w:noWrap w:val="0"/>
                  <w:tcMar>
                    <w:left w:w="0" w:type="dxa"/>
                    <w:right w:w="0" w:type="dxa"/>
                  </w:tcMar>
                  <w:vAlign w:val="center"/>
                </w:tcPr>
                <w:p w14:paraId="7047E92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3AF55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363ABCC8">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02AAB1C1">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3EC23923">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2E3DCBED">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064" w:type="dxa"/>
                  <w:tcBorders>
                    <w:tl2br w:val="nil"/>
                    <w:tr2bl w:val="nil"/>
                  </w:tcBorders>
                  <w:noWrap w:val="0"/>
                  <w:tcMar>
                    <w:left w:w="0" w:type="dxa"/>
                    <w:right w:w="0" w:type="dxa"/>
                  </w:tcMar>
                  <w:vAlign w:val="center"/>
                </w:tcPr>
                <w:p w14:paraId="7329E5D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477</w:t>
                  </w:r>
                </w:p>
              </w:tc>
              <w:tc>
                <w:tcPr>
                  <w:tcW w:w="1007" w:type="dxa"/>
                  <w:tcBorders>
                    <w:tl2br w:val="nil"/>
                    <w:tr2bl w:val="nil"/>
                  </w:tcBorders>
                  <w:noWrap w:val="0"/>
                  <w:tcMar>
                    <w:left w:w="0" w:type="dxa"/>
                    <w:right w:w="0" w:type="dxa"/>
                  </w:tcMar>
                  <w:vAlign w:val="center"/>
                </w:tcPr>
                <w:p w14:paraId="3706C91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7.85</w:t>
                  </w:r>
                </w:p>
              </w:tc>
              <w:tc>
                <w:tcPr>
                  <w:tcW w:w="972" w:type="dxa"/>
                  <w:tcBorders>
                    <w:tl2br w:val="nil"/>
                    <w:tr2bl w:val="nil"/>
                  </w:tcBorders>
                  <w:noWrap w:val="0"/>
                  <w:tcMar>
                    <w:left w:w="0" w:type="dxa"/>
                    <w:right w:w="0" w:type="dxa"/>
                  </w:tcMar>
                  <w:vAlign w:val="center"/>
                </w:tcPr>
                <w:p w14:paraId="4822001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w:t>
                  </w:r>
                </w:p>
              </w:tc>
              <w:tc>
                <w:tcPr>
                  <w:tcW w:w="972" w:type="dxa"/>
                  <w:tcBorders>
                    <w:tl2br w:val="nil"/>
                    <w:tr2bl w:val="nil"/>
                  </w:tcBorders>
                  <w:noWrap w:val="0"/>
                  <w:tcMar>
                    <w:left w:w="0" w:type="dxa"/>
                    <w:right w:w="0" w:type="dxa"/>
                  </w:tcMar>
                  <w:vAlign w:val="center"/>
                </w:tcPr>
                <w:p w14:paraId="777A8CB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w:t>
                  </w:r>
                </w:p>
              </w:tc>
              <w:tc>
                <w:tcPr>
                  <w:tcW w:w="1085" w:type="dxa"/>
                  <w:vMerge w:val="continue"/>
                  <w:tcBorders>
                    <w:tl2br w:val="nil"/>
                    <w:tr2bl w:val="nil"/>
                  </w:tcBorders>
                  <w:noWrap w:val="0"/>
                  <w:tcMar>
                    <w:left w:w="0" w:type="dxa"/>
                    <w:right w:w="0" w:type="dxa"/>
                  </w:tcMar>
                  <w:vAlign w:val="center"/>
                </w:tcPr>
                <w:p w14:paraId="6A5FF54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76A29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077733D2">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6446DEDB">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627DCC26">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62A055E0">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064" w:type="dxa"/>
                  <w:tcBorders>
                    <w:tl2br w:val="nil"/>
                    <w:tr2bl w:val="nil"/>
                  </w:tcBorders>
                  <w:noWrap w:val="0"/>
                  <w:tcMar>
                    <w:left w:w="0" w:type="dxa"/>
                    <w:right w:w="0" w:type="dxa"/>
                  </w:tcMar>
                  <w:vAlign w:val="center"/>
                </w:tcPr>
                <w:p w14:paraId="032027A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average(E16:E18)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470</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007" w:type="dxa"/>
                  <w:tcBorders>
                    <w:tl2br w:val="nil"/>
                    <w:tr2bl w:val="nil"/>
                  </w:tcBorders>
                  <w:noWrap w:val="0"/>
                  <w:tcMar>
                    <w:left w:w="0" w:type="dxa"/>
                    <w:right w:w="0" w:type="dxa"/>
                  </w:tcMar>
                  <w:vAlign w:val="center"/>
                </w:tcPr>
                <w:p w14:paraId="003C184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average(F16:F18)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7.7</w:t>
                  </w:r>
                  <w:r>
                    <w:rPr>
                      <w:rFonts w:hint="eastAsia" w:eastAsia="宋体" w:cs="Times New Roman"/>
                      <w:i w:val="0"/>
                      <w:color w:val="auto"/>
                      <w:kern w:val="0"/>
                      <w:sz w:val="21"/>
                      <w:szCs w:val="21"/>
                      <w:u w:val="none"/>
                      <w:lang w:val="en-US" w:eastAsia="zh-CN" w:bidi="ar"/>
                    </w:rPr>
                    <w:t>3</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7A6C65F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w:t>
                  </w:r>
                </w:p>
              </w:tc>
              <w:tc>
                <w:tcPr>
                  <w:tcW w:w="972" w:type="dxa"/>
                  <w:tcBorders>
                    <w:tl2br w:val="nil"/>
                    <w:tr2bl w:val="nil"/>
                  </w:tcBorders>
                  <w:noWrap w:val="0"/>
                  <w:tcMar>
                    <w:left w:w="0" w:type="dxa"/>
                    <w:right w:w="0" w:type="dxa"/>
                  </w:tcMar>
                  <w:vAlign w:val="center"/>
                </w:tcPr>
                <w:p w14:paraId="3F92FED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5</w:t>
                  </w:r>
                </w:p>
              </w:tc>
              <w:tc>
                <w:tcPr>
                  <w:tcW w:w="1085" w:type="dxa"/>
                  <w:vMerge w:val="continue"/>
                  <w:tcBorders>
                    <w:tl2br w:val="nil"/>
                    <w:tr2bl w:val="nil"/>
                  </w:tcBorders>
                  <w:noWrap w:val="0"/>
                  <w:tcMar>
                    <w:left w:w="0" w:type="dxa"/>
                    <w:right w:w="0" w:type="dxa"/>
                  </w:tcMar>
                  <w:vAlign w:val="center"/>
                </w:tcPr>
                <w:p w14:paraId="5E6E709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76DB79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677DE51C">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24C5D0FB">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restart"/>
                  <w:tcBorders>
                    <w:tl2br w:val="nil"/>
                    <w:tr2bl w:val="nil"/>
                  </w:tcBorders>
                  <w:noWrap w:val="0"/>
                  <w:tcMar>
                    <w:left w:w="0" w:type="dxa"/>
                    <w:right w:w="0" w:type="dxa"/>
                  </w:tcMar>
                  <w:vAlign w:val="center"/>
                </w:tcPr>
                <w:p w14:paraId="0D9EBE66">
                  <w:pPr>
                    <w:jc w:val="center"/>
                    <w:rPr>
                      <w:rFonts w:hint="default" w:ascii="Times New Roman" w:hAnsi="Times New Roman" w:cs="Times New Roman"/>
                      <w:color w:val="auto"/>
                      <w:sz w:val="21"/>
                      <w:szCs w:val="21"/>
                    </w:rPr>
                  </w:pPr>
                  <w:r>
                    <w:rPr>
                      <w:rFonts w:hint="eastAsia" w:eastAsia="宋体"/>
                      <w:color w:val="auto"/>
                      <w:sz w:val="21"/>
                      <w:szCs w:val="21"/>
                      <w:lang w:eastAsia="zh-CN"/>
                    </w:rPr>
                    <w:t>氮氧化物</w:t>
                  </w:r>
                </w:p>
              </w:tc>
              <w:tc>
                <w:tcPr>
                  <w:tcW w:w="950" w:type="dxa"/>
                  <w:tcBorders>
                    <w:tl2br w:val="nil"/>
                    <w:tr2bl w:val="nil"/>
                  </w:tcBorders>
                  <w:noWrap w:val="0"/>
                  <w:tcMar>
                    <w:left w:w="0" w:type="dxa"/>
                    <w:right w:w="0" w:type="dxa"/>
                  </w:tcMar>
                  <w:vAlign w:val="center"/>
                </w:tcPr>
                <w:p w14:paraId="7385BE3F">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一次</w:t>
                  </w:r>
                </w:p>
              </w:tc>
              <w:tc>
                <w:tcPr>
                  <w:tcW w:w="1064" w:type="dxa"/>
                  <w:tcBorders>
                    <w:tl2br w:val="nil"/>
                    <w:tr2bl w:val="nil"/>
                  </w:tcBorders>
                  <w:noWrap w:val="0"/>
                  <w:tcMar>
                    <w:left w:w="0" w:type="dxa"/>
                    <w:right w:w="0" w:type="dxa"/>
                  </w:tcMar>
                  <w:vAlign w:val="center"/>
                </w:tcPr>
                <w:p w14:paraId="54B8E46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471</w:t>
                  </w:r>
                </w:p>
              </w:tc>
              <w:tc>
                <w:tcPr>
                  <w:tcW w:w="1007" w:type="dxa"/>
                  <w:tcBorders>
                    <w:tl2br w:val="nil"/>
                    <w:tr2bl w:val="nil"/>
                  </w:tcBorders>
                  <w:noWrap w:val="0"/>
                  <w:tcMar>
                    <w:left w:w="0" w:type="dxa"/>
                    <w:right w:w="0" w:type="dxa"/>
                  </w:tcMar>
                  <w:vAlign w:val="center"/>
                </w:tcPr>
                <w:p w14:paraId="7705B4F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7.42</w:t>
                  </w:r>
                </w:p>
              </w:tc>
              <w:tc>
                <w:tcPr>
                  <w:tcW w:w="972" w:type="dxa"/>
                  <w:tcBorders>
                    <w:tl2br w:val="nil"/>
                    <w:tr2bl w:val="nil"/>
                  </w:tcBorders>
                  <w:noWrap w:val="0"/>
                  <w:tcMar>
                    <w:left w:w="0" w:type="dxa"/>
                    <w:right w:w="0" w:type="dxa"/>
                  </w:tcMar>
                  <w:vAlign w:val="center"/>
                </w:tcPr>
                <w:p w14:paraId="497ACA4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84</w:t>
                  </w:r>
                </w:p>
              </w:tc>
              <w:tc>
                <w:tcPr>
                  <w:tcW w:w="972" w:type="dxa"/>
                  <w:tcBorders>
                    <w:tl2br w:val="nil"/>
                    <w:tr2bl w:val="nil"/>
                  </w:tcBorders>
                  <w:noWrap w:val="0"/>
                  <w:tcMar>
                    <w:left w:w="0" w:type="dxa"/>
                    <w:right w:w="0" w:type="dxa"/>
                  </w:tcMar>
                  <w:vAlign w:val="center"/>
                </w:tcPr>
                <w:p w14:paraId="50D965A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108</w:t>
                  </w:r>
                </w:p>
              </w:tc>
              <w:tc>
                <w:tcPr>
                  <w:tcW w:w="1085" w:type="dxa"/>
                  <w:vMerge w:val="restart"/>
                  <w:tcBorders>
                    <w:tl2br w:val="nil"/>
                    <w:tr2bl w:val="nil"/>
                  </w:tcBorders>
                  <w:noWrap w:val="0"/>
                  <w:tcMar>
                    <w:left w:w="0" w:type="dxa"/>
                    <w:right w:w="0" w:type="dxa"/>
                  </w:tcMar>
                  <w:vAlign w:val="center"/>
                </w:tcPr>
                <w:p w14:paraId="4976FC2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3.9</w:t>
                  </w:r>
                  <w:r>
                    <w:rPr>
                      <w:rFonts w:hint="default" w:ascii="Times New Roman" w:hAnsi="Times New Roman" w:eastAsia="宋体" w:cs="Times New Roman"/>
                      <w:i w:val="0"/>
                      <w:color w:val="auto"/>
                      <w:kern w:val="0"/>
                      <w:sz w:val="21"/>
                      <w:szCs w:val="21"/>
                      <w:u w:val="none"/>
                      <w:lang w:val="en-US" w:eastAsia="zh-CN" w:bidi="ar"/>
                    </w:rPr>
                    <w:t>×10</w:t>
                  </w:r>
                  <w:r>
                    <w:rPr>
                      <w:rFonts w:hint="default" w:ascii="Times New Roman" w:hAnsi="Times New Roman" w:eastAsia="宋体" w:cs="Times New Roman"/>
                      <w:i w:val="0"/>
                      <w:color w:val="auto"/>
                      <w:kern w:val="0"/>
                      <w:sz w:val="21"/>
                      <w:szCs w:val="21"/>
                      <w:u w:val="none"/>
                      <w:vertAlign w:val="superscript"/>
                      <w:lang w:val="en-US" w:eastAsia="zh-CN" w:bidi="ar"/>
                    </w:rPr>
                    <w:t>-2</w:t>
                  </w:r>
                </w:p>
              </w:tc>
            </w:tr>
            <w:tr w14:paraId="56DFA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22FA62F0">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2F3506A6">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6DC8F071">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57ED9F2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二次</w:t>
                  </w:r>
                </w:p>
              </w:tc>
              <w:tc>
                <w:tcPr>
                  <w:tcW w:w="1064" w:type="dxa"/>
                  <w:tcBorders>
                    <w:tl2br w:val="nil"/>
                    <w:tr2bl w:val="nil"/>
                  </w:tcBorders>
                  <w:noWrap w:val="0"/>
                  <w:tcMar>
                    <w:left w:w="0" w:type="dxa"/>
                    <w:right w:w="0" w:type="dxa"/>
                  </w:tcMar>
                  <w:vAlign w:val="center"/>
                </w:tcPr>
                <w:p w14:paraId="3762D26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462</w:t>
                  </w:r>
                </w:p>
              </w:tc>
              <w:tc>
                <w:tcPr>
                  <w:tcW w:w="1007" w:type="dxa"/>
                  <w:tcBorders>
                    <w:tl2br w:val="nil"/>
                    <w:tr2bl w:val="nil"/>
                  </w:tcBorders>
                  <w:noWrap w:val="0"/>
                  <w:tcMar>
                    <w:left w:w="0" w:type="dxa"/>
                    <w:right w:w="0" w:type="dxa"/>
                  </w:tcMar>
                  <w:vAlign w:val="center"/>
                </w:tcPr>
                <w:p w14:paraId="57BCF23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7.91</w:t>
                  </w:r>
                </w:p>
              </w:tc>
              <w:tc>
                <w:tcPr>
                  <w:tcW w:w="972" w:type="dxa"/>
                  <w:tcBorders>
                    <w:tl2br w:val="nil"/>
                    <w:tr2bl w:val="nil"/>
                  </w:tcBorders>
                  <w:noWrap w:val="0"/>
                  <w:tcMar>
                    <w:left w:w="0" w:type="dxa"/>
                    <w:right w:w="0" w:type="dxa"/>
                  </w:tcMar>
                  <w:vAlign w:val="center"/>
                </w:tcPr>
                <w:p w14:paraId="7FC4724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81</w:t>
                  </w:r>
                </w:p>
              </w:tc>
              <w:tc>
                <w:tcPr>
                  <w:tcW w:w="972" w:type="dxa"/>
                  <w:tcBorders>
                    <w:tl2br w:val="nil"/>
                    <w:tr2bl w:val="nil"/>
                  </w:tcBorders>
                  <w:noWrap w:val="0"/>
                  <w:tcMar>
                    <w:left w:w="0" w:type="dxa"/>
                    <w:right w:w="0" w:type="dxa"/>
                  </w:tcMar>
                  <w:vAlign w:val="center"/>
                </w:tcPr>
                <w:p w14:paraId="5921193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108</w:t>
                  </w:r>
                </w:p>
              </w:tc>
              <w:tc>
                <w:tcPr>
                  <w:tcW w:w="1085" w:type="dxa"/>
                  <w:vMerge w:val="continue"/>
                  <w:tcBorders>
                    <w:tl2br w:val="nil"/>
                    <w:tr2bl w:val="nil"/>
                  </w:tcBorders>
                  <w:noWrap w:val="0"/>
                  <w:tcMar>
                    <w:left w:w="0" w:type="dxa"/>
                    <w:right w:w="0" w:type="dxa"/>
                  </w:tcMar>
                  <w:vAlign w:val="center"/>
                </w:tcPr>
                <w:p w14:paraId="28C3E00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50B4DD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4B96A7F7">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313CC19F">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41C22E41">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70707E77">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三次</w:t>
                  </w:r>
                </w:p>
              </w:tc>
              <w:tc>
                <w:tcPr>
                  <w:tcW w:w="1064" w:type="dxa"/>
                  <w:tcBorders>
                    <w:tl2br w:val="nil"/>
                    <w:tr2bl w:val="nil"/>
                  </w:tcBorders>
                  <w:noWrap w:val="0"/>
                  <w:tcMar>
                    <w:left w:w="0" w:type="dxa"/>
                    <w:right w:w="0" w:type="dxa"/>
                  </w:tcMar>
                  <w:vAlign w:val="center"/>
                </w:tcPr>
                <w:p w14:paraId="1AA27F5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477</w:t>
                  </w:r>
                </w:p>
              </w:tc>
              <w:tc>
                <w:tcPr>
                  <w:tcW w:w="1007" w:type="dxa"/>
                  <w:tcBorders>
                    <w:tl2br w:val="nil"/>
                    <w:tr2bl w:val="nil"/>
                  </w:tcBorders>
                  <w:noWrap w:val="0"/>
                  <w:tcMar>
                    <w:left w:w="0" w:type="dxa"/>
                    <w:right w:w="0" w:type="dxa"/>
                  </w:tcMar>
                  <w:vAlign w:val="center"/>
                </w:tcPr>
                <w:p w14:paraId="5D7CC64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7.85</w:t>
                  </w:r>
                </w:p>
              </w:tc>
              <w:tc>
                <w:tcPr>
                  <w:tcW w:w="972" w:type="dxa"/>
                  <w:tcBorders>
                    <w:tl2br w:val="nil"/>
                    <w:tr2bl w:val="nil"/>
                  </w:tcBorders>
                  <w:noWrap w:val="0"/>
                  <w:tcMar>
                    <w:left w:w="0" w:type="dxa"/>
                    <w:right w:w="0" w:type="dxa"/>
                  </w:tcMar>
                  <w:vAlign w:val="center"/>
                </w:tcPr>
                <w:p w14:paraId="732508C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83</w:t>
                  </w:r>
                </w:p>
              </w:tc>
              <w:tc>
                <w:tcPr>
                  <w:tcW w:w="972" w:type="dxa"/>
                  <w:tcBorders>
                    <w:tl2br w:val="nil"/>
                    <w:tr2bl w:val="nil"/>
                  </w:tcBorders>
                  <w:noWrap w:val="0"/>
                  <w:tcMar>
                    <w:left w:w="0" w:type="dxa"/>
                    <w:right w:w="0" w:type="dxa"/>
                  </w:tcMar>
                  <w:vAlign w:val="center"/>
                </w:tcPr>
                <w:p w14:paraId="6973D30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110</w:t>
                  </w:r>
                </w:p>
              </w:tc>
              <w:tc>
                <w:tcPr>
                  <w:tcW w:w="1085" w:type="dxa"/>
                  <w:vMerge w:val="continue"/>
                  <w:tcBorders>
                    <w:tl2br w:val="nil"/>
                    <w:tr2bl w:val="nil"/>
                  </w:tcBorders>
                  <w:noWrap w:val="0"/>
                  <w:tcMar>
                    <w:left w:w="0" w:type="dxa"/>
                    <w:right w:w="0" w:type="dxa"/>
                  </w:tcMar>
                  <w:vAlign w:val="center"/>
                </w:tcPr>
                <w:p w14:paraId="7FF7818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2716E2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72061058">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vAlign w:val="center"/>
                </w:tcPr>
                <w:p w14:paraId="073D29FA">
                  <w:pPr>
                    <w:adjustRightInd w:val="0"/>
                    <w:snapToGrid w:val="0"/>
                    <w:spacing w:line="240" w:lineRule="auto"/>
                    <w:jc w:val="center"/>
                    <w:rPr>
                      <w:rFonts w:hint="default" w:ascii="Times New Roman" w:hAnsi="Times New Roman" w:cs="Times New Roman"/>
                      <w:color w:val="auto"/>
                      <w:sz w:val="21"/>
                      <w:szCs w:val="21"/>
                    </w:rPr>
                  </w:pPr>
                </w:p>
              </w:tc>
              <w:tc>
                <w:tcPr>
                  <w:tcW w:w="1007" w:type="dxa"/>
                  <w:vMerge w:val="continue"/>
                  <w:tcBorders>
                    <w:tl2br w:val="nil"/>
                    <w:tr2bl w:val="nil"/>
                  </w:tcBorders>
                  <w:noWrap w:val="0"/>
                  <w:tcMar>
                    <w:left w:w="0" w:type="dxa"/>
                    <w:right w:w="0" w:type="dxa"/>
                  </w:tcMar>
                  <w:vAlign w:val="center"/>
                </w:tcPr>
                <w:p w14:paraId="36D98B10">
                  <w:pPr>
                    <w:adjustRightInd w:val="0"/>
                    <w:snapToGrid w:val="0"/>
                    <w:spacing w:line="240" w:lineRule="auto"/>
                    <w:jc w:val="center"/>
                    <w:rPr>
                      <w:rFonts w:hint="default" w:ascii="Times New Roman" w:hAnsi="Times New Roman" w:cs="Times New Roman"/>
                      <w:color w:val="auto"/>
                      <w:sz w:val="21"/>
                      <w:szCs w:val="21"/>
                    </w:rPr>
                  </w:pPr>
                </w:p>
              </w:tc>
              <w:tc>
                <w:tcPr>
                  <w:tcW w:w="950" w:type="dxa"/>
                  <w:tcBorders>
                    <w:tl2br w:val="nil"/>
                    <w:tr2bl w:val="nil"/>
                  </w:tcBorders>
                  <w:noWrap w:val="0"/>
                  <w:tcMar>
                    <w:left w:w="0" w:type="dxa"/>
                    <w:right w:w="0" w:type="dxa"/>
                  </w:tcMar>
                  <w:vAlign w:val="center"/>
                </w:tcPr>
                <w:p w14:paraId="23E4FF7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w:t>
                  </w:r>
                  <w:r>
                    <w:rPr>
                      <w:rFonts w:hint="default" w:ascii="Times New Roman" w:hAnsi="Times New Roman" w:cs="Times New Roman"/>
                      <w:color w:val="auto"/>
                      <w:sz w:val="21"/>
                      <w:szCs w:val="21"/>
                      <w:lang w:eastAsia="zh-CN"/>
                    </w:rPr>
                    <w:t>值</w:t>
                  </w:r>
                </w:p>
              </w:tc>
              <w:tc>
                <w:tcPr>
                  <w:tcW w:w="1064" w:type="dxa"/>
                  <w:tcBorders>
                    <w:tl2br w:val="nil"/>
                    <w:tr2bl w:val="nil"/>
                  </w:tcBorders>
                  <w:noWrap w:val="0"/>
                  <w:tcMar>
                    <w:left w:w="0" w:type="dxa"/>
                    <w:right w:w="0" w:type="dxa"/>
                  </w:tcMar>
                  <w:vAlign w:val="center"/>
                </w:tcPr>
                <w:p w14:paraId="2DFF747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average(E16:E18)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470</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007" w:type="dxa"/>
                  <w:tcBorders>
                    <w:tl2br w:val="nil"/>
                    <w:tr2bl w:val="nil"/>
                  </w:tcBorders>
                  <w:noWrap w:val="0"/>
                  <w:tcMar>
                    <w:left w:w="0" w:type="dxa"/>
                    <w:right w:w="0" w:type="dxa"/>
                  </w:tcMar>
                  <w:vAlign w:val="center"/>
                </w:tcPr>
                <w:p w14:paraId="75ACE01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 average(F16:F18) \* MERGEFORMAT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7.7</w:t>
                  </w:r>
                  <w:r>
                    <w:rPr>
                      <w:rFonts w:hint="eastAsia" w:eastAsia="宋体" w:cs="Times New Roman"/>
                      <w:i w:val="0"/>
                      <w:color w:val="auto"/>
                      <w:kern w:val="0"/>
                      <w:sz w:val="21"/>
                      <w:szCs w:val="21"/>
                      <w:u w:val="none"/>
                      <w:lang w:val="en-US" w:eastAsia="zh-CN" w:bidi="ar"/>
                    </w:rPr>
                    <w:t>3</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972" w:type="dxa"/>
                  <w:tcBorders>
                    <w:tl2br w:val="nil"/>
                    <w:tr2bl w:val="nil"/>
                  </w:tcBorders>
                  <w:noWrap w:val="0"/>
                  <w:tcMar>
                    <w:left w:w="0" w:type="dxa"/>
                    <w:right w:w="0" w:type="dxa"/>
                  </w:tcMar>
                  <w:vAlign w:val="center"/>
                </w:tcPr>
                <w:p w14:paraId="74B2FD5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83</w:t>
                  </w:r>
                </w:p>
              </w:tc>
              <w:tc>
                <w:tcPr>
                  <w:tcW w:w="972" w:type="dxa"/>
                  <w:tcBorders>
                    <w:tl2br w:val="nil"/>
                    <w:tr2bl w:val="nil"/>
                  </w:tcBorders>
                  <w:noWrap w:val="0"/>
                  <w:tcMar>
                    <w:left w:w="0" w:type="dxa"/>
                    <w:right w:w="0" w:type="dxa"/>
                  </w:tcMar>
                  <w:vAlign w:val="center"/>
                </w:tcPr>
                <w:p w14:paraId="48E8CD6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109</w:t>
                  </w:r>
                </w:p>
              </w:tc>
              <w:tc>
                <w:tcPr>
                  <w:tcW w:w="1085" w:type="dxa"/>
                  <w:vMerge w:val="continue"/>
                  <w:tcBorders>
                    <w:tl2br w:val="nil"/>
                    <w:tr2bl w:val="nil"/>
                  </w:tcBorders>
                  <w:noWrap w:val="0"/>
                  <w:tcMar>
                    <w:left w:w="0" w:type="dxa"/>
                    <w:right w:w="0" w:type="dxa"/>
                  </w:tcMar>
                  <w:vAlign w:val="center"/>
                </w:tcPr>
                <w:p w14:paraId="70642A6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287965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007" w:type="dxa"/>
                  <w:vMerge w:val="continue"/>
                  <w:tcBorders>
                    <w:tl2br w:val="nil"/>
                    <w:tr2bl w:val="nil"/>
                  </w:tcBorders>
                  <w:noWrap w:val="0"/>
                  <w:vAlign w:val="center"/>
                </w:tcPr>
                <w:p w14:paraId="328BEF79">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007" w:type="dxa"/>
                  <w:vMerge w:val="continue"/>
                  <w:tcBorders>
                    <w:tl2br w:val="nil"/>
                    <w:tr2bl w:val="nil"/>
                  </w:tcBorders>
                  <w:noWrap w:val="0"/>
                  <w:vAlign w:val="center"/>
                </w:tcPr>
                <w:p w14:paraId="74D18956">
                  <w:pPr>
                    <w:adjustRightInd w:val="0"/>
                    <w:snapToGrid w:val="0"/>
                    <w:spacing w:line="240" w:lineRule="auto"/>
                    <w:jc w:val="center"/>
                    <w:rPr>
                      <w:rFonts w:hint="default" w:ascii="Times New Roman" w:hAnsi="Times New Roman" w:eastAsia="宋体" w:cs="Times New Roman"/>
                      <w:color w:val="auto"/>
                      <w:sz w:val="21"/>
                      <w:szCs w:val="21"/>
                      <w:lang w:val="en-US" w:eastAsia="zh-CN"/>
                    </w:rPr>
                  </w:pPr>
                </w:p>
              </w:tc>
              <w:tc>
                <w:tcPr>
                  <w:tcW w:w="1957" w:type="dxa"/>
                  <w:gridSpan w:val="2"/>
                  <w:tcBorders>
                    <w:tl2br w:val="nil"/>
                    <w:tr2bl w:val="nil"/>
                  </w:tcBorders>
                  <w:noWrap w:val="0"/>
                  <w:tcMar>
                    <w:left w:w="0" w:type="dxa"/>
                    <w:right w:w="0" w:type="dxa"/>
                  </w:tcMar>
                  <w:vAlign w:val="center"/>
                </w:tcPr>
                <w:p w14:paraId="3A5CC16E">
                  <w:pPr>
                    <w:jc w:val="center"/>
                    <w:rPr>
                      <w:rFonts w:hint="default" w:ascii="Times New Roman" w:hAnsi="Times New Roman" w:cs="Times New Roman"/>
                      <w:color w:val="auto"/>
                      <w:sz w:val="21"/>
                      <w:szCs w:val="21"/>
                    </w:rPr>
                  </w:pPr>
                  <w:r>
                    <w:rPr>
                      <w:rFonts w:hint="eastAsia" w:eastAsia="宋体"/>
                      <w:color w:val="auto"/>
                      <w:sz w:val="21"/>
                      <w:szCs w:val="21"/>
                      <w:lang w:val="en-US" w:eastAsia="zh-CN"/>
                    </w:rPr>
                    <w:t>烟气黑度（级）</w:t>
                  </w:r>
                </w:p>
              </w:tc>
              <w:tc>
                <w:tcPr>
                  <w:tcW w:w="5100" w:type="dxa"/>
                  <w:gridSpan w:val="5"/>
                  <w:tcBorders>
                    <w:tl2br w:val="nil"/>
                    <w:tr2bl w:val="nil"/>
                  </w:tcBorders>
                  <w:noWrap w:val="0"/>
                  <w:tcMar>
                    <w:left w:w="0" w:type="dxa"/>
                    <w:right w:w="0" w:type="dxa"/>
                  </w:tcMar>
                  <w:vAlign w:val="center"/>
                </w:tcPr>
                <w:p w14:paraId="7647995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eastAsia="宋体" w:cs="Times New Roman"/>
                      <w:i w:val="0"/>
                      <w:color w:val="auto"/>
                      <w:kern w:val="0"/>
                      <w:sz w:val="21"/>
                      <w:szCs w:val="21"/>
                      <w:u w:val="none"/>
                      <w:lang w:val="en-US" w:eastAsia="zh-CN" w:bidi="ar"/>
                    </w:rPr>
                    <w:t>＜1</w:t>
                  </w:r>
                </w:p>
              </w:tc>
            </w:tr>
          </w:tbl>
          <w:p w14:paraId="53C7058B">
            <w:pPr>
              <w:keepNext w:val="0"/>
              <w:keepLines w:val="0"/>
              <w:pageBreakBefore w:val="0"/>
              <w:widowControl w:val="0"/>
              <w:kinsoku/>
              <w:wordWrap/>
              <w:overflowPunct/>
              <w:topLinePunct w:val="0"/>
              <w:autoSpaceDE/>
              <w:autoSpaceDN/>
              <w:bidi w:val="0"/>
              <w:adjustRightInd/>
              <w:snapToGrid w:val="0"/>
              <w:spacing w:beforeLines="50" w:afterLines="50" w:line="360" w:lineRule="auto"/>
              <w:ind w:left="0" w:leftChars="0" w:right="0" w:rightChars="0" w:firstLine="482" w:firstLineChars="200"/>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color w:val="auto"/>
                <w:sz w:val="24"/>
                <w:szCs w:val="24"/>
                <w:lang w:val="en-US" w:eastAsia="zh-CN"/>
              </w:rPr>
              <w:t>有组织废气：</w:t>
            </w:r>
            <w:r>
              <w:rPr>
                <w:rFonts w:hint="eastAsia" w:eastAsia="宋体" w:cs="Times New Roman"/>
                <w:b/>
                <w:bCs/>
                <w:color w:val="auto"/>
                <w:sz w:val="24"/>
                <w:szCs w:val="24"/>
                <w:lang w:val="en-US" w:eastAsia="zh-CN"/>
              </w:rPr>
              <w:t>按照</w:t>
            </w:r>
            <w:r>
              <w:rPr>
                <w:rFonts w:hint="default" w:ascii="Times New Roman" w:hAnsi="Times New Roman" w:eastAsia="宋体" w:cs="Times New Roman"/>
                <w:b w:val="0"/>
                <w:bCs w:val="0"/>
                <w:color w:val="auto"/>
                <w:sz w:val="24"/>
                <w:szCs w:val="24"/>
                <w:lang w:val="en-US" w:eastAsia="zh-CN"/>
              </w:rPr>
              <w:t>《恶臭污染物排放标准》GB 14554-93表2</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《四川省固定污染源大气挥发性有机物排放标准》DB 51/2377- 2017 表3“涉及有机溶剂生产和使用的其它行业”</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 xml:space="preserve">《锅炉大气污染物排放标准》GB 13271-2014表2 </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燃油锅炉</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color w:val="auto"/>
                <w:sz w:val="24"/>
                <w:szCs w:val="24"/>
                <w:vertAlign w:val="baseline"/>
                <w:lang w:val="en-US" w:eastAsia="zh-CN"/>
              </w:rPr>
              <w:t>标准</w:t>
            </w:r>
            <w:r>
              <w:rPr>
                <w:rFonts w:hint="default" w:ascii="Times New Roman" w:hAnsi="Times New Roman" w:eastAsia="宋体" w:cs="Times New Roman"/>
                <w:sz w:val="24"/>
                <w:szCs w:val="24"/>
              </w:rPr>
              <w:t>进行评价</w:t>
            </w:r>
            <w:r>
              <w:rPr>
                <w:rFonts w:hint="default" w:ascii="Times New Roman" w:hAnsi="Times New Roman" w:eastAsia="宋体" w:cs="Times New Roman"/>
                <w:sz w:val="24"/>
                <w:szCs w:val="24"/>
                <w:lang w:eastAsia="zh-CN"/>
              </w:rPr>
              <w:t>，</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验收检测，1#除臭废气排气筒出口硫化氢、氨、臭气浓度、VOCs和2#燃油锅炉排气筒出口颗粒物、氮氧化物、二氧化硫、烟气黑度指标</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-2日连续两天</w:t>
            </w:r>
            <w:r>
              <w:rPr>
                <w:rFonts w:hint="default" w:ascii="Times New Roman" w:hAnsi="Times New Roman" w:eastAsia="宋体" w:cs="Times New Roman"/>
                <w:color w:val="auto"/>
                <w:sz w:val="24"/>
                <w:szCs w:val="24"/>
                <w:lang w:eastAsia="zh-CN"/>
              </w:rPr>
              <w:t>监测数据表明</w:t>
            </w:r>
            <w:r>
              <w:rPr>
                <w:rFonts w:hint="default" w:ascii="Times New Roman" w:hAnsi="Times New Roman" w:eastAsia="宋体" w:cs="Times New Roman"/>
                <w:color w:val="auto"/>
                <w:sz w:val="24"/>
                <w:szCs w:val="24"/>
              </w:rPr>
              <w:t>均</w:t>
            </w:r>
            <w:r>
              <w:rPr>
                <w:rFonts w:hint="default" w:ascii="Times New Roman" w:hAnsi="Times New Roman" w:eastAsia="宋体" w:cs="Times New Roman"/>
                <w:b/>
                <w:color w:val="auto"/>
                <w:sz w:val="24"/>
                <w:szCs w:val="24"/>
              </w:rPr>
              <w:t>达标</w:t>
            </w:r>
            <w:r>
              <w:rPr>
                <w:rFonts w:hint="default" w:ascii="Times New Roman" w:hAnsi="Times New Roman" w:eastAsia="宋体" w:cs="Times New Roman"/>
                <w:color w:val="auto"/>
                <w:sz w:val="24"/>
                <w:szCs w:val="24"/>
              </w:rPr>
              <w:t>。</w:t>
            </w:r>
          </w:p>
          <w:p w14:paraId="56268490">
            <w:pPr>
              <w:pStyle w:val="29"/>
              <w:adjustRightInd w:val="0"/>
              <w:snapToGrid w:val="0"/>
              <w:spacing w:before="0" w:beforeAutospacing="0" w:after="0" w:afterAutospacing="0" w:line="360" w:lineRule="auto"/>
              <w:jc w:val="both"/>
              <w:rPr>
                <w:rFonts w:hint="default"/>
                <w:color w:val="0000FF"/>
                <w:lang w:val="en-US" w:eastAsia="zh-CN"/>
              </w:rPr>
            </w:pPr>
          </w:p>
        </w:tc>
      </w:tr>
    </w:tbl>
    <w:p w14:paraId="2A8C5015">
      <w:pPr>
        <w:ind w:firstLine="422"/>
        <w:rPr>
          <w:rFonts w:hint="default" w:ascii="Times New Roman" w:hAnsi="Times New Roman" w:cs="Times New Roman"/>
          <w:b/>
          <w:color w:val="0000FF"/>
        </w:rPr>
        <w:sectPr>
          <w:pgSz w:w="11906" w:h="16838"/>
          <w:pgMar w:top="1440" w:right="1080" w:bottom="1440" w:left="1080" w:header="850" w:footer="964" w:gutter="0"/>
          <w:pgBorders>
            <w:top w:val="none" w:sz="0" w:space="0"/>
            <w:left w:val="none" w:sz="0" w:space="0"/>
            <w:bottom w:val="none" w:sz="0" w:space="0"/>
            <w:right w:val="none" w:sz="0" w:space="0"/>
          </w:pgBorders>
          <w:pgNumType w:fmt="numberInDash"/>
          <w:cols w:space="720" w:num="1"/>
          <w:docGrid w:linePitch="360" w:charSpace="0"/>
        </w:sectPr>
      </w:pPr>
    </w:p>
    <w:p w14:paraId="59AB732A">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color w:val="0000FF"/>
        </w:rPr>
      </w:pPr>
      <w:bookmarkStart w:id="45" w:name="_Toc19838"/>
      <w:bookmarkStart w:id="46" w:name="_Toc19922"/>
      <w:bookmarkStart w:id="47" w:name="_Toc3572"/>
      <w:bookmarkStart w:id="48" w:name="_Toc11647_WPSOffice_Level1"/>
      <w:bookmarkStart w:id="49" w:name="_Toc15197_WPSOffice_Level1"/>
      <w:r>
        <w:rPr>
          <w:rFonts w:hint="default" w:ascii="Times New Roman" w:hAnsi="Times New Roman" w:cs="Times New Roman"/>
          <w:color w:val="auto"/>
        </w:rPr>
        <w:t xml:space="preserve">表八  </w:t>
      </w:r>
      <w:r>
        <w:rPr>
          <w:rFonts w:hint="default" w:ascii="Times New Roman" w:hAnsi="Times New Roman" w:cs="Times New Roman"/>
          <w:b/>
          <w:bCs/>
          <w:color w:val="auto"/>
        </w:rPr>
        <w:t>环保检查结果</w:t>
      </w:r>
      <w:bookmarkEnd w:id="45"/>
      <w:bookmarkEnd w:id="46"/>
      <w:bookmarkEnd w:id="47"/>
      <w:bookmarkEnd w:id="48"/>
      <w:bookmarkEnd w:id="49"/>
    </w:p>
    <w:tbl>
      <w:tblPr>
        <w:tblStyle w:val="33"/>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7"/>
      </w:tblGrid>
      <w:tr w14:paraId="18B9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6" w:hRule="atLeast"/>
          <w:jc w:val="center"/>
        </w:trPr>
        <w:tc>
          <w:tcPr>
            <w:tcW w:w="9577" w:type="dxa"/>
            <w:noWrap w:val="0"/>
            <w:vAlign w:val="top"/>
          </w:tcPr>
          <w:p w14:paraId="24F459ED">
            <w:pPr>
              <w:spacing w:line="360" w:lineRule="auto"/>
              <w:rPr>
                <w:rFonts w:hint="default" w:ascii="Times New Roman" w:hAnsi="Times New Roman" w:eastAsia="宋体" w:cs="Times New Roman"/>
                <w:b/>
                <w:sz w:val="24"/>
                <w:szCs w:val="21"/>
                <w:lang w:val="en-US" w:eastAsia="zh-CN"/>
              </w:rPr>
            </w:pPr>
            <w:r>
              <w:rPr>
                <w:rFonts w:hint="eastAsia" w:ascii="Times New Roman" w:hAnsi="Times New Roman" w:eastAsia="宋体" w:cs="Times New Roman"/>
                <w:b/>
                <w:sz w:val="24"/>
                <w:szCs w:val="21"/>
                <w:lang w:val="en-US" w:eastAsia="zh-CN"/>
              </w:rPr>
              <w:t xml:space="preserve">1. </w:t>
            </w:r>
            <w:r>
              <w:rPr>
                <w:rFonts w:hint="default" w:ascii="Times New Roman" w:hAnsi="Times New Roman" w:eastAsia="宋体" w:cs="Times New Roman"/>
                <w:b/>
                <w:sz w:val="24"/>
                <w:szCs w:val="21"/>
                <w:lang w:val="en-US" w:eastAsia="zh-CN"/>
              </w:rPr>
              <w:t>环保审批手续及</w:t>
            </w:r>
            <w:r>
              <w:rPr>
                <w:rFonts w:hint="eastAsia" w:ascii="Times New Roman" w:hAnsi="Times New Roman" w:eastAsia="宋体" w:cs="Times New Roman"/>
                <w:b/>
                <w:sz w:val="24"/>
                <w:szCs w:val="21"/>
                <w:lang w:val="en-US" w:eastAsia="zh-CN"/>
              </w:rPr>
              <w:t>“</w:t>
            </w:r>
            <w:r>
              <w:rPr>
                <w:rFonts w:hint="default" w:ascii="Times New Roman" w:hAnsi="Times New Roman" w:eastAsia="宋体" w:cs="Times New Roman"/>
                <w:b/>
                <w:sz w:val="24"/>
                <w:szCs w:val="21"/>
                <w:lang w:val="en-US" w:eastAsia="zh-CN"/>
              </w:rPr>
              <w:t>三同时</w:t>
            </w:r>
            <w:r>
              <w:rPr>
                <w:rFonts w:hint="eastAsia" w:ascii="Times New Roman" w:hAnsi="Times New Roman" w:eastAsia="宋体" w:cs="Times New Roman"/>
                <w:b/>
                <w:sz w:val="24"/>
                <w:szCs w:val="21"/>
                <w:lang w:val="en-US" w:eastAsia="zh-CN"/>
              </w:rPr>
              <w:t>”</w:t>
            </w:r>
            <w:r>
              <w:rPr>
                <w:rFonts w:hint="default" w:ascii="Times New Roman" w:hAnsi="Times New Roman" w:eastAsia="宋体" w:cs="Times New Roman"/>
                <w:b/>
                <w:sz w:val="24"/>
                <w:szCs w:val="21"/>
                <w:lang w:val="en-US" w:eastAsia="zh-CN"/>
              </w:rPr>
              <w:t>执行情况检查</w:t>
            </w:r>
          </w:p>
          <w:p w14:paraId="6BBDA226">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2"/>
                <w:lang w:val="en-US" w:eastAsia="zh-CN" w:bidi="ar-SA"/>
              </w:rPr>
            </w:pPr>
            <w:r>
              <w:rPr>
                <w:rFonts w:hint="default" w:ascii="Times New Roman" w:hAnsi="Times New Roman" w:eastAsia="宋体" w:cs="Times New Roman"/>
                <w:color w:val="auto"/>
                <w:kern w:val="2"/>
                <w:sz w:val="24"/>
                <w:szCs w:val="22"/>
                <w:lang w:val="en-US" w:eastAsia="zh-CN" w:bidi="ar-SA"/>
              </w:rPr>
              <w:t>本项目环保审批手续齐备，在建设过程中严格执行</w:t>
            </w:r>
            <w:r>
              <w:rPr>
                <w:rFonts w:hint="eastAsia" w:ascii="Times New Roman" w:hAnsi="Times New Roman" w:eastAsia="宋体" w:cs="Times New Roman"/>
                <w:color w:val="auto"/>
                <w:kern w:val="2"/>
                <w:sz w:val="24"/>
                <w:szCs w:val="22"/>
                <w:lang w:val="en-US" w:eastAsia="zh-CN" w:bidi="ar-SA"/>
              </w:rPr>
              <w:t>“</w:t>
            </w:r>
            <w:r>
              <w:rPr>
                <w:rFonts w:hint="default" w:ascii="Times New Roman" w:hAnsi="Times New Roman" w:eastAsia="宋体" w:cs="Times New Roman"/>
                <w:color w:val="auto"/>
                <w:kern w:val="2"/>
                <w:sz w:val="24"/>
                <w:szCs w:val="22"/>
                <w:lang w:val="en-US" w:eastAsia="zh-CN" w:bidi="ar-SA"/>
              </w:rPr>
              <w:t>三同时</w:t>
            </w:r>
            <w:r>
              <w:rPr>
                <w:rFonts w:hint="eastAsia" w:ascii="Times New Roman" w:hAnsi="Times New Roman" w:eastAsia="宋体" w:cs="Times New Roman"/>
                <w:color w:val="auto"/>
                <w:kern w:val="2"/>
                <w:sz w:val="24"/>
                <w:szCs w:val="22"/>
                <w:lang w:val="en-US" w:eastAsia="zh-CN" w:bidi="ar-SA"/>
              </w:rPr>
              <w:t>”</w:t>
            </w:r>
            <w:r>
              <w:rPr>
                <w:rFonts w:hint="default" w:ascii="Times New Roman" w:hAnsi="Times New Roman" w:eastAsia="宋体" w:cs="Times New Roman"/>
                <w:color w:val="auto"/>
                <w:kern w:val="2"/>
                <w:sz w:val="24"/>
                <w:szCs w:val="22"/>
                <w:lang w:val="en-US" w:eastAsia="zh-CN" w:bidi="ar-SA"/>
              </w:rPr>
              <w:t>制度，治理设施与工程主体设施同时设计、同时施工建设、同时投入生产。项目竣工后，及时按规定程序</w:t>
            </w:r>
            <w:r>
              <w:rPr>
                <w:rFonts w:hint="eastAsia" w:ascii="Times New Roman" w:hAnsi="Times New Roman" w:eastAsia="宋体" w:cs="Times New Roman"/>
                <w:color w:val="auto"/>
                <w:kern w:val="2"/>
                <w:sz w:val="24"/>
                <w:szCs w:val="22"/>
                <w:lang w:val="en-US" w:eastAsia="zh-CN" w:bidi="ar-SA"/>
              </w:rPr>
              <w:t>组织项目进行竣工环保</w:t>
            </w:r>
            <w:r>
              <w:rPr>
                <w:rFonts w:hint="default" w:ascii="Times New Roman" w:hAnsi="Times New Roman" w:eastAsia="宋体" w:cs="Times New Roman"/>
                <w:color w:val="auto"/>
                <w:kern w:val="2"/>
                <w:sz w:val="24"/>
                <w:szCs w:val="22"/>
                <w:lang w:val="en-US" w:eastAsia="zh-CN" w:bidi="ar-SA"/>
              </w:rPr>
              <w:t>自主验收。</w:t>
            </w:r>
          </w:p>
          <w:p w14:paraId="73A6223A">
            <w:pPr>
              <w:spacing w:line="360" w:lineRule="auto"/>
              <w:rPr>
                <w:rFonts w:hint="default" w:ascii="Times New Roman" w:hAnsi="Times New Roman" w:cs="Times New Roman"/>
                <w:color w:val="auto"/>
                <w:sz w:val="28"/>
                <w:szCs w:val="28"/>
              </w:rPr>
            </w:pPr>
            <w:r>
              <w:rPr>
                <w:rFonts w:hint="eastAsia" w:ascii="Times New Roman" w:hAnsi="Times New Roman" w:cs="Times New Roman"/>
                <w:b/>
                <w:bCs/>
                <w:color w:val="auto"/>
                <w:sz w:val="28"/>
                <w:szCs w:val="28"/>
                <w:lang w:val="en-US" w:eastAsia="zh-CN"/>
              </w:rPr>
              <w:t xml:space="preserve">2. </w:t>
            </w:r>
            <w:r>
              <w:rPr>
                <w:rFonts w:hint="default" w:ascii="Times New Roman" w:hAnsi="Times New Roman" w:eastAsia="宋体" w:cs="Times New Roman"/>
                <w:b/>
                <w:sz w:val="24"/>
                <w:szCs w:val="21"/>
              </w:rPr>
              <w:t>项目环保审批手续执行情况检查</w:t>
            </w:r>
          </w:p>
          <w:p w14:paraId="6F1EC14B">
            <w:pPr>
              <w:spacing w:line="360" w:lineRule="auto"/>
              <w:ind w:firstLine="480" w:firstLineChars="200"/>
              <w:rPr>
                <w:rFonts w:hint="default" w:ascii="Times New Roman" w:hAnsi="Times New Roman" w:eastAsia="宋体" w:cs="Times New Roman"/>
                <w:color w:val="auto"/>
                <w:kern w:val="2"/>
                <w:sz w:val="24"/>
                <w:szCs w:val="22"/>
                <w:lang w:val="en-US" w:eastAsia="zh-CN" w:bidi="ar-SA"/>
              </w:rPr>
            </w:pPr>
            <w:r>
              <w:rPr>
                <w:rFonts w:hint="default" w:ascii="Times New Roman" w:hAnsi="Times New Roman" w:eastAsia="宋体" w:cs="Times New Roman"/>
                <w:color w:val="auto"/>
                <w:kern w:val="2"/>
                <w:sz w:val="24"/>
                <w:szCs w:val="22"/>
                <w:lang w:val="en-US" w:eastAsia="zh-CN" w:bidi="ar-SA"/>
              </w:rPr>
              <w:t>20</w:t>
            </w:r>
            <w:r>
              <w:rPr>
                <w:rFonts w:hint="eastAsia" w:cs="Times New Roman"/>
                <w:color w:val="auto"/>
                <w:kern w:val="2"/>
                <w:sz w:val="24"/>
                <w:szCs w:val="22"/>
                <w:lang w:val="en-US" w:eastAsia="zh-CN" w:bidi="ar-SA"/>
              </w:rPr>
              <w:t>24</w:t>
            </w:r>
            <w:r>
              <w:rPr>
                <w:rFonts w:hint="default" w:ascii="Times New Roman" w:hAnsi="Times New Roman" w:eastAsia="宋体" w:cs="Times New Roman"/>
                <w:color w:val="auto"/>
                <w:kern w:val="2"/>
                <w:sz w:val="24"/>
                <w:szCs w:val="22"/>
                <w:lang w:val="en-US" w:eastAsia="zh-CN" w:bidi="ar-SA"/>
              </w:rPr>
              <w:t>年</w:t>
            </w:r>
            <w:r>
              <w:rPr>
                <w:rFonts w:hint="eastAsia" w:eastAsia="宋体" w:cs="Times New Roman"/>
                <w:color w:val="auto"/>
                <w:kern w:val="2"/>
                <w:sz w:val="24"/>
                <w:szCs w:val="22"/>
                <w:lang w:val="en-US" w:eastAsia="zh-CN" w:bidi="ar-SA"/>
              </w:rPr>
              <w:t>1</w:t>
            </w:r>
            <w:r>
              <w:rPr>
                <w:rFonts w:hint="default" w:ascii="Times New Roman" w:hAnsi="Times New Roman" w:eastAsia="宋体" w:cs="Times New Roman"/>
                <w:color w:val="auto"/>
                <w:kern w:val="2"/>
                <w:sz w:val="24"/>
                <w:szCs w:val="22"/>
                <w:lang w:val="en-US" w:eastAsia="zh-CN" w:bidi="ar-SA"/>
              </w:rPr>
              <w:t>月，由</w:t>
            </w:r>
            <w:r>
              <w:rPr>
                <w:rFonts w:hint="eastAsia" w:ascii="Times New Roman" w:hAnsi="Times New Roman" w:eastAsia="宋体" w:cs="Times New Roman"/>
                <w:color w:val="auto"/>
                <w:sz w:val="24"/>
                <w:szCs w:val="24"/>
                <w:lang w:eastAsia="zh-CN"/>
              </w:rPr>
              <w:t>四川友信恒创环保科技有限公司</w:t>
            </w:r>
            <w:r>
              <w:rPr>
                <w:rFonts w:hint="default" w:ascii="Times New Roman" w:hAnsi="Times New Roman" w:eastAsia="宋体" w:cs="Times New Roman"/>
                <w:color w:val="auto"/>
                <w:kern w:val="2"/>
                <w:sz w:val="24"/>
                <w:szCs w:val="22"/>
                <w:lang w:val="en-US" w:eastAsia="zh-CN" w:bidi="ar-SA"/>
              </w:rPr>
              <w:t>编制完成《</w:t>
            </w:r>
            <w:r>
              <w:rPr>
                <w:rFonts w:hint="eastAsia" w:ascii="Times New Roman" w:hAnsi="Times New Roman" w:eastAsia="宋体" w:cs="Times New Roman"/>
                <w:sz w:val="24"/>
              </w:rPr>
              <w:t>青川县餐厨垃圾无害化处理、资源化利用项目</w:t>
            </w:r>
            <w:r>
              <w:rPr>
                <w:rFonts w:hint="eastAsia"/>
                <w:sz w:val="24"/>
                <w:lang w:eastAsia="zh-CN"/>
              </w:rPr>
              <w:t>建设项目</w:t>
            </w:r>
            <w:r>
              <w:rPr>
                <w:sz w:val="24"/>
              </w:rPr>
              <w:t>环境影响报告</w:t>
            </w:r>
            <w:r>
              <w:rPr>
                <w:rFonts w:hint="eastAsia"/>
                <w:sz w:val="24"/>
              </w:rPr>
              <w:t>表</w:t>
            </w:r>
            <w:r>
              <w:rPr>
                <w:rFonts w:hint="default" w:ascii="Times New Roman" w:hAnsi="Times New Roman" w:eastAsia="宋体" w:cs="Times New Roman"/>
                <w:color w:val="auto"/>
                <w:kern w:val="2"/>
                <w:sz w:val="24"/>
                <w:szCs w:val="22"/>
                <w:lang w:val="en-US" w:eastAsia="zh-CN" w:bidi="ar-SA"/>
              </w:rPr>
              <w:t>》；20</w:t>
            </w:r>
            <w:r>
              <w:rPr>
                <w:rFonts w:hint="eastAsia" w:cs="Times New Roman"/>
                <w:color w:val="auto"/>
                <w:kern w:val="2"/>
                <w:sz w:val="24"/>
                <w:szCs w:val="22"/>
                <w:lang w:val="en-US" w:eastAsia="zh-CN" w:bidi="ar-SA"/>
              </w:rPr>
              <w:t>24</w:t>
            </w:r>
            <w:r>
              <w:rPr>
                <w:rFonts w:hint="default" w:ascii="Times New Roman" w:hAnsi="Times New Roman" w:eastAsia="宋体" w:cs="Times New Roman"/>
                <w:color w:val="auto"/>
                <w:kern w:val="2"/>
                <w:sz w:val="24"/>
                <w:szCs w:val="22"/>
                <w:lang w:val="en-US" w:eastAsia="zh-CN" w:bidi="ar-SA"/>
              </w:rPr>
              <w:t>年</w:t>
            </w:r>
            <w:r>
              <w:rPr>
                <w:rFonts w:hint="eastAsia" w:cs="Times New Roman"/>
                <w:color w:val="auto"/>
                <w:kern w:val="2"/>
                <w:sz w:val="24"/>
                <w:szCs w:val="22"/>
                <w:lang w:val="en-US" w:eastAsia="zh-CN" w:bidi="ar-SA"/>
              </w:rPr>
              <w:t>2</w:t>
            </w:r>
            <w:r>
              <w:rPr>
                <w:rFonts w:hint="default" w:ascii="Times New Roman" w:hAnsi="Times New Roman" w:eastAsia="宋体" w:cs="Times New Roman"/>
                <w:color w:val="auto"/>
                <w:kern w:val="2"/>
                <w:sz w:val="24"/>
                <w:szCs w:val="22"/>
                <w:lang w:val="en-US" w:eastAsia="zh-CN" w:bidi="ar-SA"/>
              </w:rPr>
              <w:t>月</w:t>
            </w:r>
            <w:r>
              <w:rPr>
                <w:rFonts w:hint="eastAsia" w:cs="Times New Roman"/>
                <w:color w:val="auto"/>
                <w:kern w:val="2"/>
                <w:sz w:val="24"/>
                <w:szCs w:val="22"/>
                <w:lang w:val="en-US" w:eastAsia="zh-CN" w:bidi="ar-SA"/>
              </w:rPr>
              <w:t>20</w:t>
            </w:r>
            <w:r>
              <w:rPr>
                <w:rFonts w:hint="default" w:ascii="Times New Roman" w:hAnsi="Times New Roman" w:eastAsia="宋体" w:cs="Times New Roman"/>
                <w:color w:val="auto"/>
                <w:kern w:val="2"/>
                <w:sz w:val="24"/>
                <w:szCs w:val="22"/>
                <w:lang w:val="en-US" w:eastAsia="zh-CN" w:bidi="ar-SA"/>
              </w:rPr>
              <w:t>日，</w:t>
            </w:r>
            <w:r>
              <w:rPr>
                <w:rFonts w:hint="eastAsia" w:cs="Times New Roman"/>
                <w:color w:val="auto"/>
                <w:kern w:val="2"/>
                <w:sz w:val="24"/>
                <w:szCs w:val="22"/>
                <w:lang w:val="en-US" w:eastAsia="zh-CN" w:bidi="ar-SA"/>
              </w:rPr>
              <w:t>广元市青川</w:t>
            </w:r>
            <w:r>
              <w:rPr>
                <w:rFonts w:hint="eastAsia" w:ascii="Times New Roman" w:hAnsi="Times New Roman" w:eastAsia="宋体" w:cs="Times New Roman"/>
                <w:color w:val="auto"/>
                <w:kern w:val="2"/>
                <w:sz w:val="24"/>
                <w:szCs w:val="22"/>
                <w:lang w:val="en-US" w:eastAsia="zh-CN" w:bidi="ar-SA"/>
              </w:rPr>
              <w:t>生态环境局</w:t>
            </w:r>
            <w:r>
              <w:rPr>
                <w:rFonts w:hint="default" w:ascii="Times New Roman" w:hAnsi="Times New Roman" w:eastAsia="宋体" w:cs="Times New Roman"/>
                <w:color w:val="auto"/>
                <w:kern w:val="2"/>
                <w:sz w:val="24"/>
                <w:szCs w:val="22"/>
                <w:lang w:val="en-US" w:eastAsia="zh-CN" w:bidi="ar-SA"/>
              </w:rPr>
              <w:t>对该项目出具环境影响报告表的审查批复</w:t>
            </w:r>
            <w:r>
              <w:rPr>
                <w:color w:val="auto"/>
                <w:sz w:val="24"/>
              </w:rPr>
              <w:t>（</w:t>
            </w:r>
            <w:r>
              <w:rPr>
                <w:rFonts w:hint="eastAsia"/>
                <w:color w:val="auto"/>
                <w:sz w:val="24"/>
                <w:lang w:eastAsia="zh-CN"/>
              </w:rPr>
              <w:t>广青环审</w:t>
            </w:r>
            <w:r>
              <w:rPr>
                <w:rFonts w:hint="eastAsia"/>
                <w:color w:val="auto"/>
                <w:sz w:val="24"/>
              </w:rPr>
              <w:t>［</w:t>
            </w:r>
            <w:r>
              <w:rPr>
                <w:rFonts w:ascii="Times New Roman" w:hAnsi="Times New Roman"/>
                <w:color w:val="auto"/>
                <w:sz w:val="24"/>
              </w:rPr>
              <w:t>20</w:t>
            </w:r>
            <w:r>
              <w:rPr>
                <w:rFonts w:hint="eastAsia"/>
                <w:color w:val="auto"/>
                <w:sz w:val="24"/>
                <w:lang w:val="en-US" w:eastAsia="zh-CN"/>
              </w:rPr>
              <w:t>24</w:t>
            </w:r>
            <w:r>
              <w:rPr>
                <w:rFonts w:hint="eastAsia"/>
                <w:color w:val="auto"/>
                <w:sz w:val="24"/>
              </w:rPr>
              <w:t>］</w:t>
            </w:r>
            <w:r>
              <w:rPr>
                <w:rFonts w:hint="eastAsia"/>
                <w:color w:val="auto"/>
                <w:sz w:val="24"/>
                <w:lang w:val="en-US" w:eastAsia="zh-CN"/>
              </w:rPr>
              <w:t>3</w:t>
            </w:r>
            <w:r>
              <w:rPr>
                <w:color w:val="auto"/>
                <w:sz w:val="24"/>
              </w:rPr>
              <w:t>号）</w:t>
            </w:r>
            <w:r>
              <w:rPr>
                <w:rFonts w:hint="default" w:ascii="Times New Roman" w:hAnsi="Times New Roman" w:eastAsia="宋体" w:cs="Times New Roman"/>
                <w:color w:val="auto"/>
                <w:kern w:val="2"/>
                <w:sz w:val="24"/>
                <w:szCs w:val="22"/>
                <w:lang w:val="en-US" w:eastAsia="zh-CN" w:bidi="ar-SA"/>
              </w:rPr>
              <w:t>。</w:t>
            </w:r>
          </w:p>
          <w:p w14:paraId="47222D9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sz w:val="24"/>
                <w:szCs w:val="21"/>
                <w:lang w:val="zh-CN"/>
              </w:rPr>
            </w:pPr>
            <w:r>
              <w:rPr>
                <w:rFonts w:hint="eastAsia" w:ascii="Times New Roman" w:hAnsi="Times New Roman" w:cs="Times New Roman"/>
                <w:b/>
                <w:bCs/>
                <w:color w:val="auto"/>
                <w:sz w:val="28"/>
                <w:szCs w:val="28"/>
                <w:lang w:val="en-US" w:eastAsia="zh-CN"/>
              </w:rPr>
              <w:t xml:space="preserve">3. </w:t>
            </w:r>
            <w:r>
              <w:rPr>
                <w:rFonts w:hint="default" w:ascii="Times New Roman" w:hAnsi="Times New Roman" w:eastAsia="宋体" w:cs="Times New Roman"/>
                <w:b/>
                <w:sz w:val="24"/>
                <w:szCs w:val="21"/>
              </w:rPr>
              <w:t>公司环境管理机构设立及环境保护制度、档案管理</w:t>
            </w:r>
          </w:p>
          <w:p w14:paraId="1DF501BE">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FF0000"/>
                <w:sz w:val="24"/>
                <w:szCs w:val="24"/>
              </w:rPr>
            </w:pPr>
            <w:r>
              <w:rPr>
                <w:rFonts w:hint="default" w:ascii="Times New Roman" w:hAnsi="Times New Roman" w:eastAsia="宋体" w:cs="Times New Roman"/>
                <w:sz w:val="24"/>
              </w:rPr>
              <w:t>公司</w:t>
            </w:r>
            <w:r>
              <w:rPr>
                <w:rFonts w:hint="eastAsia" w:ascii="Times New Roman" w:hAnsi="Times New Roman" w:eastAsia="宋体" w:cs="Times New Roman"/>
                <w:sz w:val="24"/>
                <w:lang w:val="en-US" w:eastAsia="zh-CN"/>
              </w:rPr>
              <w:t>有</w:t>
            </w:r>
            <w:r>
              <w:rPr>
                <w:rFonts w:hint="default" w:ascii="Times New Roman" w:hAnsi="Times New Roman" w:eastAsia="宋体" w:cs="Times New Roman"/>
                <w:sz w:val="24"/>
              </w:rPr>
              <w:t>环保人员，负责公司的环保检查，并根据公司的实际情况制定了《环境保护管理制度》</w:t>
            </w:r>
            <w:r>
              <w:rPr>
                <w:rFonts w:hint="eastAsia" w:ascii="Times New Roman" w:hAnsi="Times New Roman" w:eastAsia="宋体" w:cs="Times New Roman"/>
                <w:sz w:val="24"/>
                <w:lang w:eastAsia="zh-CN"/>
              </w:rPr>
              <w:t>，设立环境管理机制并根据排污许可证制定了自行监测计划</w:t>
            </w:r>
            <w:r>
              <w:rPr>
                <w:rFonts w:hint="default" w:ascii="Times New Roman" w:hAnsi="Times New Roman" w:eastAsia="宋体" w:cs="Times New Roman"/>
                <w:sz w:val="24"/>
              </w:rPr>
              <w:t>。环境管理部门负责环境保护档案资料的管理，包括环评报告</w:t>
            </w:r>
            <w:r>
              <w:rPr>
                <w:rFonts w:hint="default" w:ascii="Times New Roman" w:hAnsi="Times New Roman" w:eastAsia="宋体" w:cs="Times New Roman"/>
                <w:sz w:val="24"/>
                <w:lang w:eastAsia="zh-CN"/>
              </w:rPr>
              <w:t>表</w:t>
            </w:r>
            <w:r>
              <w:rPr>
                <w:rFonts w:hint="default" w:ascii="Times New Roman" w:hAnsi="Times New Roman" w:eastAsia="宋体" w:cs="Times New Roman"/>
                <w:sz w:val="24"/>
              </w:rPr>
              <w:t>、环评批复、环境保护管理制度、环保设施运行、维护记录</w:t>
            </w:r>
            <w:r>
              <w:rPr>
                <w:rFonts w:hint="default" w:ascii="Times New Roman" w:hAnsi="Times New Roman" w:eastAsia="宋体" w:cs="Times New Roman"/>
                <w:color w:val="auto"/>
                <w:sz w:val="24"/>
              </w:rPr>
              <w:t>等。</w:t>
            </w:r>
            <w:r>
              <w:rPr>
                <w:rFonts w:hint="eastAsia" w:ascii="Times New Roman" w:hAnsi="Times New Roman" w:eastAsia="宋体" w:cs="Times New Roman"/>
                <w:color w:val="FF0000"/>
                <w:sz w:val="24"/>
                <w:lang w:val="en-US" w:eastAsia="zh-CN"/>
              </w:rPr>
              <w:t>该项目已202</w:t>
            </w:r>
            <w:r>
              <w:rPr>
                <w:rFonts w:hint="eastAsia" w:cs="Times New Roman"/>
                <w:color w:val="FF0000"/>
                <w:sz w:val="24"/>
                <w:lang w:val="en-US" w:eastAsia="zh-CN"/>
              </w:rPr>
              <w:t>4</w:t>
            </w:r>
            <w:r>
              <w:rPr>
                <w:rFonts w:hint="eastAsia" w:ascii="Times New Roman" w:hAnsi="Times New Roman" w:eastAsia="宋体" w:cs="Times New Roman"/>
                <w:color w:val="FF0000"/>
                <w:sz w:val="24"/>
                <w:lang w:val="en-US" w:eastAsia="zh-CN"/>
              </w:rPr>
              <w:t>年办理了排污许可证，编号为：11510722008467545E</w:t>
            </w:r>
            <w:r>
              <w:rPr>
                <w:rFonts w:hint="eastAsia" w:cs="Times New Roman"/>
                <w:color w:val="FF0000"/>
                <w:sz w:val="24"/>
                <w:lang w:val="en-US" w:eastAsia="zh-CN"/>
              </w:rPr>
              <w:t>002U</w:t>
            </w:r>
            <w:r>
              <w:rPr>
                <w:rFonts w:hint="eastAsia" w:ascii="Times New Roman" w:hAnsi="Times New Roman" w:eastAsia="宋体" w:cs="Times New Roman"/>
                <w:color w:val="FF0000"/>
                <w:sz w:val="24"/>
                <w:lang w:val="en-US" w:eastAsia="zh-CN"/>
              </w:rPr>
              <w:t>。</w:t>
            </w:r>
          </w:p>
          <w:p w14:paraId="22846C28">
            <w:pPr>
              <w:spacing w:line="360" w:lineRule="auto"/>
              <w:rPr>
                <w:rFonts w:hint="default" w:ascii="Times New Roman" w:hAnsi="Times New Roman" w:eastAsia="宋体" w:cs="Times New Roman"/>
                <w:b/>
                <w:sz w:val="24"/>
                <w:szCs w:val="21"/>
              </w:rPr>
            </w:pPr>
            <w:r>
              <w:rPr>
                <w:rFonts w:hint="eastAsia" w:ascii="Times New Roman" w:hAnsi="Times New Roman" w:eastAsia="宋体" w:cs="Times New Roman"/>
                <w:b/>
                <w:sz w:val="24"/>
                <w:szCs w:val="21"/>
                <w:lang w:val="en-US" w:eastAsia="zh-CN"/>
              </w:rPr>
              <w:t xml:space="preserve">4. </w:t>
            </w:r>
            <w:r>
              <w:rPr>
                <w:rFonts w:hint="default" w:ascii="Times New Roman" w:hAnsi="Times New Roman" w:eastAsia="宋体" w:cs="Times New Roman"/>
                <w:b/>
                <w:sz w:val="24"/>
                <w:szCs w:val="21"/>
              </w:rPr>
              <w:t>环保治理设施的完成、运行、维护情况检查</w:t>
            </w:r>
          </w:p>
          <w:p w14:paraId="34A81EF0">
            <w:pPr>
              <w:spacing w:line="360" w:lineRule="auto"/>
              <w:ind w:firstLine="48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经现场检查，本项目对生产过程中产生的废气、废水、固体废物、噪声的污染源采取了针对性的处理措施。厂内各环保设施运行正常、项目生产过程中实行环保设施专人管理制度，定期对各环保设施进行检查、维修</w:t>
            </w:r>
            <w:r>
              <w:rPr>
                <w:rFonts w:hint="eastAsia" w:ascii="Times New Roman" w:hAnsi="Times New Roman" w:cs="Times New Roman"/>
                <w:color w:val="auto"/>
                <w:sz w:val="24"/>
                <w:szCs w:val="24"/>
                <w:lang w:eastAsia="zh-CN"/>
              </w:rPr>
              <w:t>。</w:t>
            </w:r>
            <w:r>
              <w:rPr>
                <w:rFonts w:hint="eastAsia" w:cs="Times New Roman"/>
                <w:color w:val="auto"/>
                <w:sz w:val="24"/>
                <w:szCs w:val="24"/>
                <w:lang w:eastAsia="zh-CN"/>
              </w:rPr>
              <w:t>项目排污口建设规范。</w:t>
            </w:r>
          </w:p>
          <w:p w14:paraId="622A19A4">
            <w:pPr>
              <w:spacing w:line="360" w:lineRule="auto"/>
              <w:rPr>
                <w:rFonts w:hint="default" w:ascii="Times New Roman" w:hAnsi="Times New Roman" w:eastAsia="宋体" w:cs="Times New Roman"/>
                <w:b/>
                <w:sz w:val="24"/>
                <w:szCs w:val="21"/>
              </w:rPr>
            </w:pPr>
            <w:r>
              <w:rPr>
                <w:rFonts w:hint="eastAsia" w:ascii="Times New Roman" w:hAnsi="Times New Roman" w:eastAsia="宋体" w:cs="Times New Roman"/>
                <w:b/>
                <w:sz w:val="24"/>
                <w:szCs w:val="21"/>
                <w:lang w:val="en-US" w:eastAsia="zh-CN"/>
              </w:rPr>
              <w:t xml:space="preserve">5. </w:t>
            </w:r>
            <w:r>
              <w:rPr>
                <w:rFonts w:hint="default" w:ascii="Times New Roman" w:hAnsi="Times New Roman" w:eastAsia="宋体" w:cs="Times New Roman"/>
                <w:b/>
                <w:sz w:val="24"/>
                <w:szCs w:val="21"/>
              </w:rPr>
              <w:t>卫生防护距离内情况检查</w:t>
            </w:r>
          </w:p>
          <w:p w14:paraId="4B734C9C">
            <w:pPr>
              <w:spacing w:line="360" w:lineRule="auto"/>
              <w:ind w:firstLine="480"/>
              <w:rPr>
                <w:rFonts w:hint="eastAsia" w:ascii="Times New Roman" w:hAnsi="Times New Roman" w:eastAsia="宋体" w:cs="Times New Roman"/>
                <w:color w:val="auto"/>
                <w:sz w:val="24"/>
                <w:szCs w:val="24"/>
                <w:lang w:eastAsia="zh-CN"/>
              </w:rPr>
            </w:pPr>
            <w:r>
              <w:rPr>
                <w:rFonts w:hint="eastAsia"/>
                <w:sz w:val="24"/>
              </w:rPr>
              <w:t>项目卫生防护距离内</w:t>
            </w:r>
            <w:r>
              <w:rPr>
                <w:rFonts w:hint="eastAsia" w:ascii="Times New Roman" w:hAnsi="Times New Roman" w:eastAsia="宋体" w:cs="Times New Roman"/>
                <w:sz w:val="24"/>
              </w:rPr>
              <w:t>无环境敏感目标（居民、学校、医院等需要特别保护的建筑物）</w:t>
            </w:r>
            <w:r>
              <w:rPr>
                <w:rFonts w:hint="eastAsia" w:ascii="Times New Roman" w:hAnsi="Times New Roman" w:eastAsia="宋体" w:cs="Times New Roman"/>
                <w:color w:val="auto"/>
                <w:sz w:val="24"/>
                <w:szCs w:val="24"/>
                <w:lang w:val="en-US" w:eastAsia="zh-CN"/>
              </w:rPr>
              <w:t>。</w:t>
            </w:r>
          </w:p>
          <w:p w14:paraId="447DA414">
            <w:pPr>
              <w:spacing w:line="360" w:lineRule="auto"/>
              <w:rPr>
                <w:rFonts w:hint="default" w:ascii="Times New Roman" w:hAnsi="Times New Roman" w:eastAsia="宋体" w:cs="Times New Roman"/>
                <w:b/>
                <w:color w:val="auto"/>
                <w:sz w:val="24"/>
                <w:szCs w:val="21"/>
              </w:rPr>
            </w:pPr>
            <w:r>
              <w:rPr>
                <w:rFonts w:hint="eastAsia" w:ascii="Times New Roman" w:hAnsi="Times New Roman" w:eastAsia="宋体" w:cs="Times New Roman"/>
                <w:b/>
                <w:sz w:val="24"/>
                <w:szCs w:val="21"/>
                <w:lang w:val="en-US" w:eastAsia="zh-CN"/>
              </w:rPr>
              <w:t xml:space="preserve">6. </w:t>
            </w:r>
            <w:r>
              <w:rPr>
                <w:rFonts w:hint="default" w:ascii="Times New Roman" w:hAnsi="Times New Roman" w:eastAsia="宋体" w:cs="Times New Roman"/>
                <w:b/>
                <w:sz w:val="24"/>
                <w:szCs w:val="21"/>
              </w:rPr>
              <w:t>风险防范措施落实情况</w:t>
            </w:r>
          </w:p>
          <w:p w14:paraId="371B63AC">
            <w:pPr>
              <w:spacing w:line="360" w:lineRule="auto"/>
              <w:ind w:firstLine="480"/>
              <w:rPr>
                <w:rFonts w:hint="eastAsia" w:ascii="Times New Roman" w:hAnsi="Times New Roman" w:cs="Times New Roman"/>
                <w:color w:val="FF0000"/>
                <w:sz w:val="24"/>
                <w:szCs w:val="24"/>
                <w:lang w:val="en-US" w:eastAsia="zh-CN"/>
              </w:rPr>
            </w:pPr>
            <w:r>
              <w:rPr>
                <w:rFonts w:hint="eastAsia" w:cs="Times New Roman"/>
                <w:color w:val="FF0000"/>
                <w:sz w:val="24"/>
                <w:lang w:val="en-US" w:eastAsia="zh-CN"/>
              </w:rPr>
              <w:t>该单位</w:t>
            </w:r>
            <w:r>
              <w:rPr>
                <w:rFonts w:hint="eastAsia" w:ascii="Times New Roman" w:hAnsi="Times New Roman" w:cs="Times New Roman"/>
                <w:color w:val="FF0000"/>
                <w:sz w:val="24"/>
                <w:szCs w:val="24"/>
                <w:lang w:val="en-US" w:eastAsia="zh-CN"/>
              </w:rPr>
              <w:t>编制有《突发环境事件风险应急预案》，备案号：510802-2024-031-L。</w:t>
            </w:r>
          </w:p>
          <w:p w14:paraId="7CE676C4">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本项目的环境风险事故主要为</w:t>
            </w:r>
            <w:r>
              <w:rPr>
                <w:rFonts w:hint="eastAsia" w:ascii="Times New Roman" w:hAnsi="Times New Roman" w:cs="Times New Roman"/>
                <w:color w:val="auto"/>
                <w:sz w:val="24"/>
                <w:szCs w:val="24"/>
                <w:lang w:val="en-US" w:eastAsia="zh-CN"/>
              </w:rPr>
              <w:t>废气处理设施不正常运行、废水处理设施不正常运行造成污染物事故性外排，对环境产生影响等</w:t>
            </w:r>
            <w:r>
              <w:rPr>
                <w:rFonts w:hint="default" w:ascii="Times New Roman" w:hAnsi="Times New Roman" w:cs="Times New Roman"/>
                <w:color w:val="auto"/>
                <w:sz w:val="24"/>
                <w:szCs w:val="24"/>
                <w:lang w:val="en-US" w:eastAsia="zh-CN"/>
              </w:rPr>
              <w:t>。</w:t>
            </w:r>
          </w:p>
          <w:p w14:paraId="77463C76">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风险防范措施：</w:t>
            </w:r>
          </w:p>
          <w:p w14:paraId="598F2A94">
            <w:pPr>
              <w:spacing w:line="360" w:lineRule="auto"/>
              <w:ind w:firstLine="480"/>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加强管理和巡检，及时发现废气、废水事故性排放。发生废气、废水事故性排放，及时停产，安排专人检修，待恢复正常后再生产。</w:t>
            </w:r>
          </w:p>
          <w:p w14:paraId="4C27F417">
            <w:pPr>
              <w:pStyle w:val="4"/>
              <w:keepNext/>
              <w:keepLines/>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落实情况：</w:t>
            </w:r>
          </w:p>
          <w:p w14:paraId="70F08993">
            <w:pPr>
              <w:spacing w:line="360" w:lineRule="auto"/>
              <w:ind w:firstLine="480"/>
              <w:rPr>
                <w:rFonts w:hint="default" w:ascii="Times New Roman" w:hAnsi="Times New Roman" w:cs="Times New Roman"/>
                <w:b/>
                <w:bCs/>
                <w:color w:val="auto"/>
                <w:sz w:val="24"/>
                <w:szCs w:val="24"/>
              </w:rPr>
            </w:pPr>
            <w:r>
              <w:rPr>
                <w:rFonts w:hint="eastAsia" w:ascii="Times New Roman" w:hAnsi="Times New Roman" w:cs="Times New Roman"/>
                <w:color w:val="auto"/>
                <w:sz w:val="24"/>
                <w:szCs w:val="24"/>
                <w:lang w:val="en-US" w:eastAsia="zh-CN"/>
              </w:rPr>
              <w:t>管理</w:t>
            </w:r>
            <w:r>
              <w:rPr>
                <w:rFonts w:hint="eastAsia" w:cs="Times New Roman"/>
                <w:color w:val="auto"/>
                <w:sz w:val="24"/>
                <w:szCs w:val="24"/>
                <w:lang w:val="en-US" w:eastAsia="zh-CN"/>
              </w:rPr>
              <w:t>严格、</w:t>
            </w:r>
            <w:r>
              <w:rPr>
                <w:rFonts w:hint="eastAsia" w:ascii="Times New Roman" w:hAnsi="Times New Roman" w:cs="Times New Roman"/>
                <w:color w:val="auto"/>
                <w:sz w:val="24"/>
                <w:szCs w:val="24"/>
                <w:lang w:val="en-US" w:eastAsia="zh-CN"/>
              </w:rPr>
              <w:t>巡检</w:t>
            </w:r>
            <w:r>
              <w:rPr>
                <w:rFonts w:hint="eastAsia" w:cs="Times New Roman"/>
                <w:color w:val="auto"/>
                <w:sz w:val="24"/>
                <w:szCs w:val="24"/>
                <w:lang w:val="en-US" w:eastAsia="zh-CN"/>
              </w:rPr>
              <w:t>周密</w:t>
            </w:r>
            <w:r>
              <w:rPr>
                <w:rFonts w:hint="eastAsia" w:ascii="Times New Roman" w:hAnsi="Times New Roman" w:cs="Times New Roman"/>
                <w:color w:val="auto"/>
                <w:sz w:val="24"/>
                <w:szCs w:val="24"/>
                <w:lang w:val="en-US" w:eastAsia="zh-CN"/>
              </w:rPr>
              <w:t>，</w:t>
            </w:r>
            <w:r>
              <w:rPr>
                <w:rFonts w:hint="eastAsia" w:cs="Times New Roman"/>
                <w:color w:val="auto"/>
                <w:sz w:val="24"/>
                <w:szCs w:val="24"/>
                <w:lang w:val="en-US" w:eastAsia="zh-CN"/>
              </w:rPr>
              <w:t>面对对</w:t>
            </w:r>
            <w:r>
              <w:rPr>
                <w:rFonts w:hint="eastAsia" w:ascii="Times New Roman" w:hAnsi="Times New Roman" w:cs="Times New Roman"/>
                <w:color w:val="auto"/>
                <w:sz w:val="24"/>
                <w:szCs w:val="24"/>
                <w:lang w:val="en-US" w:eastAsia="zh-CN"/>
              </w:rPr>
              <w:t>废气、废水事故性排放</w:t>
            </w:r>
            <w:r>
              <w:rPr>
                <w:rFonts w:hint="eastAsia" w:cs="Times New Roman"/>
                <w:color w:val="auto"/>
                <w:sz w:val="24"/>
                <w:szCs w:val="24"/>
                <w:lang w:val="en-US" w:eastAsia="zh-CN"/>
              </w:rPr>
              <w:t>情况可较快发现</w:t>
            </w:r>
            <w:r>
              <w:rPr>
                <w:rFonts w:hint="eastAsia" w:ascii="Times New Roman" w:hAnsi="Times New Roman" w:cs="Times New Roman"/>
                <w:color w:val="auto"/>
                <w:sz w:val="24"/>
                <w:szCs w:val="24"/>
                <w:lang w:val="en-US" w:eastAsia="zh-CN"/>
              </w:rPr>
              <w:t>。发生废气、废水事故性排放，</w:t>
            </w:r>
            <w:r>
              <w:rPr>
                <w:rFonts w:hint="eastAsia" w:cs="Times New Roman"/>
                <w:color w:val="auto"/>
                <w:sz w:val="24"/>
                <w:szCs w:val="24"/>
                <w:lang w:val="en-US" w:eastAsia="zh-CN"/>
              </w:rPr>
              <w:t>能够做到</w:t>
            </w:r>
            <w:r>
              <w:rPr>
                <w:rFonts w:hint="eastAsia" w:ascii="Times New Roman" w:hAnsi="Times New Roman" w:cs="Times New Roman"/>
                <w:color w:val="auto"/>
                <w:sz w:val="24"/>
                <w:szCs w:val="24"/>
                <w:lang w:val="en-US" w:eastAsia="zh-CN"/>
              </w:rPr>
              <w:t>及时停产，安排专人检修，待恢复正常后再生产。</w:t>
            </w:r>
            <w:r>
              <w:rPr>
                <w:rFonts w:ascii="宋体" w:hAnsi="宋体" w:eastAsia="宋体" w:cs="宋体"/>
                <w:color w:val="C00000"/>
                <w:sz w:val="24"/>
                <w:szCs w:val="24"/>
              </w:rPr>
              <w:br w:type="textWrapping"/>
            </w:r>
            <w:r>
              <w:rPr>
                <w:rFonts w:hint="eastAsia" w:cs="Times New Roman"/>
                <w:b/>
                <w:bCs/>
                <w:color w:val="auto"/>
                <w:sz w:val="24"/>
                <w:szCs w:val="24"/>
                <w:lang w:val="en-US" w:eastAsia="zh-CN"/>
              </w:rPr>
              <w:t>7、</w:t>
            </w:r>
            <w:r>
              <w:rPr>
                <w:rFonts w:hint="default" w:ascii="Times New Roman" w:hAnsi="Times New Roman" w:cs="Times New Roman"/>
                <w:b/>
                <w:bCs/>
                <w:color w:val="auto"/>
                <w:sz w:val="24"/>
                <w:szCs w:val="24"/>
              </w:rPr>
              <w:t>环评批复要求落实情况检查</w:t>
            </w:r>
          </w:p>
          <w:p w14:paraId="2D5F3D8E">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本项目基本落实了环评批复提出的要求，对废水、废气、噪声、固体废物均落实了各项环保防治措施和控制措施。本项目环评批复要求落实情况见表</w:t>
            </w:r>
            <w:r>
              <w:rPr>
                <w:rFonts w:hint="eastAsia" w:cs="Times New Roman"/>
                <w:color w:val="auto"/>
                <w:sz w:val="24"/>
                <w:szCs w:val="24"/>
                <w:lang w:val="en-US" w:eastAsia="zh-CN"/>
              </w:rPr>
              <w:t>7</w:t>
            </w:r>
            <w:r>
              <w:rPr>
                <w:rFonts w:hint="default" w:ascii="Times New Roman" w:hAnsi="Times New Roman" w:cs="Times New Roman"/>
                <w:color w:val="auto"/>
                <w:sz w:val="24"/>
                <w:szCs w:val="24"/>
              </w:rPr>
              <w:t>-1。</w:t>
            </w:r>
          </w:p>
          <w:p w14:paraId="71056156">
            <w:pPr>
              <w:spacing w:line="240" w:lineRule="auto"/>
              <w:jc w:val="center"/>
              <w:rPr>
                <w:rFonts w:hint="default" w:ascii="Times New Roman" w:hAnsi="Times New Roman" w:cs="Times New Roman"/>
                <w:b/>
                <w:bCs/>
                <w:color w:val="auto"/>
                <w:sz w:val="24"/>
                <w:szCs w:val="24"/>
                <w:lang w:val="en-US" w:eastAsia="zh-CN"/>
              </w:rPr>
            </w:pPr>
          </w:p>
          <w:p w14:paraId="515C2E83">
            <w:pPr>
              <w:spacing w:line="240" w:lineRule="auto"/>
              <w:jc w:val="center"/>
              <w:rPr>
                <w:rFonts w:hint="default" w:ascii="Times New Roman" w:hAnsi="Times New Roman" w:cs="Times New Roman"/>
                <w:b/>
                <w:bCs/>
                <w:color w:val="auto"/>
                <w:sz w:val="24"/>
                <w:szCs w:val="24"/>
                <w:lang w:val="en-US" w:eastAsia="zh-CN"/>
              </w:rPr>
            </w:pPr>
          </w:p>
          <w:p w14:paraId="4AF7CE2D">
            <w:pPr>
              <w:spacing w:line="240" w:lineRule="auto"/>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w:t>
            </w:r>
            <w:r>
              <w:rPr>
                <w:rFonts w:hint="eastAsia" w:cs="Times New Roman"/>
                <w:b/>
                <w:bCs/>
                <w:color w:val="auto"/>
                <w:sz w:val="24"/>
                <w:szCs w:val="24"/>
                <w:lang w:val="en-US" w:eastAsia="zh-CN"/>
              </w:rPr>
              <w:t>7</w:t>
            </w:r>
            <w:r>
              <w:rPr>
                <w:rFonts w:hint="default" w:ascii="Times New Roman" w:hAnsi="Times New Roman" w:cs="Times New Roman"/>
                <w:b/>
                <w:bCs/>
                <w:color w:val="auto"/>
                <w:sz w:val="24"/>
                <w:szCs w:val="24"/>
                <w:lang w:val="en-US" w:eastAsia="zh-CN"/>
              </w:rPr>
              <w:t>-1  环评批复要求落实情况表</w:t>
            </w:r>
          </w:p>
          <w:tbl>
            <w:tblPr>
              <w:tblStyle w:val="33"/>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4119"/>
              <w:gridCol w:w="4168"/>
            </w:tblGrid>
            <w:tr w14:paraId="2390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12" w:type="dxa"/>
                  <w:noWrap w:val="0"/>
                  <w:vAlign w:val="center"/>
                </w:tcPr>
                <w:p w14:paraId="2A83100B">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编号</w:t>
                  </w:r>
                </w:p>
              </w:tc>
              <w:tc>
                <w:tcPr>
                  <w:tcW w:w="4119" w:type="dxa"/>
                  <w:noWrap w:val="0"/>
                  <w:vAlign w:val="center"/>
                </w:tcPr>
                <w:p w14:paraId="5228C13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环评批复</w:t>
                  </w:r>
                </w:p>
              </w:tc>
              <w:tc>
                <w:tcPr>
                  <w:tcW w:w="4168" w:type="dxa"/>
                  <w:noWrap w:val="0"/>
                  <w:vAlign w:val="center"/>
                </w:tcPr>
                <w:p w14:paraId="2A7BFF3B">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执行情况</w:t>
                  </w:r>
                </w:p>
              </w:tc>
            </w:tr>
            <w:tr w14:paraId="1D55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6" w:hRule="exact"/>
                <w:jc w:val="center"/>
              </w:trPr>
              <w:tc>
                <w:tcPr>
                  <w:tcW w:w="612" w:type="dxa"/>
                  <w:noWrap w:val="0"/>
                  <w:vAlign w:val="center"/>
                </w:tcPr>
                <w:p w14:paraId="7E65E3FC">
                  <w:pPr>
                    <w:spacing w:line="240" w:lineRule="auto"/>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c>
                <w:tcPr>
                  <w:tcW w:w="4119" w:type="dxa"/>
                  <w:noWrap w:val="0"/>
                  <w:vAlign w:val="center"/>
                </w:tcPr>
                <w:p w14:paraId="5E43A873">
                  <w:pPr>
                    <w:pStyle w:val="6"/>
                    <w:keepNext/>
                    <w:keepLines/>
                    <w:pageBreakBefore w:val="0"/>
                    <w:widowControl w:val="0"/>
                    <w:numPr>
                      <w:ilvl w:val="0"/>
                      <w:numId w:val="0"/>
                    </w:numPr>
                    <w:tabs>
                      <w:tab w:val="clear" w:pos="0"/>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严格落实《报告表》中提出的大气污染防治措施。加装集气罩收集臭气，对车间作业区全封闭，设置二道封闭措施，室内采用负压运行，臭气由风机引至碱洗喷淋塔+生物吸附床处理后经15m高的排气筒排放;接料废气采用植物提取液(恶臭抑制剂)高压喷雾脱臭装置定期喷淋除臭后与餐厨垃圾处理间负压抽气系统联合使用;厌氧发酵区废气设1套沼气净化系统+沼气利用系统+紧急火炬处理;污水处理站全密闭设计，由于本项目污水处理设计工艺为厌氧工艺，仅缓慢产生少量臭气，要求在污水处理站附近增加绿植覆盖处理;热水炉燃烧废气经15m排气筒排放。</w:t>
                  </w:r>
                </w:p>
                <w:p w14:paraId="385F994D">
                  <w:pPr>
                    <w:pStyle w:val="32"/>
                    <w:keepNext w:val="0"/>
                    <w:keepLines w:val="0"/>
                    <w:pageBreakBefore w:val="0"/>
                    <w:widowControl w:val="0"/>
                    <w:numPr>
                      <w:ilvl w:val="0"/>
                      <w:numId w:val="0"/>
                    </w:numPr>
                    <w:kinsoku/>
                    <w:wordWrap/>
                    <w:overflowPunct/>
                    <w:topLinePunct w:val="0"/>
                    <w:autoSpaceDE/>
                    <w:autoSpaceDN/>
                    <w:bidi w:val="0"/>
                    <w:adjustRightInd/>
                    <w:snapToGrid/>
                    <w:spacing w:after="0" w:line="240" w:lineRule="auto"/>
                    <w:textAlignment w:val="auto"/>
                    <w:rPr>
                      <w:rFonts w:hint="default" w:ascii="Times New Roman" w:hAnsi="Times New Roman" w:cs="Times New Roman"/>
                      <w:color w:val="auto"/>
                      <w:sz w:val="21"/>
                      <w:szCs w:val="21"/>
                    </w:rPr>
                  </w:pPr>
                </w:p>
              </w:tc>
              <w:tc>
                <w:tcPr>
                  <w:tcW w:w="4168" w:type="dxa"/>
                  <w:noWrap w:val="0"/>
                  <w:vAlign w:val="center"/>
                </w:tcPr>
                <w:p w14:paraId="504B22F6">
                  <w:pPr>
                    <w:pStyle w:val="6"/>
                    <w:keepNext/>
                    <w:keepLines/>
                    <w:pageBreakBefore w:val="0"/>
                    <w:widowControl w:val="0"/>
                    <w:numPr>
                      <w:ilvl w:val="0"/>
                      <w:numId w:val="0"/>
                    </w:numPr>
                    <w:tabs>
                      <w:tab w:val="clear" w:pos="0"/>
                    </w:tabs>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已落实《报告表》中提出的大气污染防治措施。加装集气罩收集臭气，对车间作业区全封闭，设置二道封闭措施，室内采用负压运行，臭气由风机引至碱洗喷淋塔+生物吸附床处理后经15m高的排气筒排放;接料废气采用植物提取液(恶臭抑制剂)高压喷雾脱臭装置定期喷淋除臭后与餐厨垃圾处理间负压抽气系统联合使用;厌氧发酵区废气设1套沼气净化系统+沼气利用系统+紧急火炬处理;污水处理站全密闭设计，由于本项目污水处理设计工艺为厌氧工艺，仅缓慢产生少量臭气，要求在污水处理站附近增加绿植覆盖处理;燃油热水炉燃烧废气经8m排气筒排放。</w:t>
                  </w:r>
                </w:p>
              </w:tc>
            </w:tr>
            <w:tr w14:paraId="07E3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5" w:hRule="atLeast"/>
                <w:jc w:val="center"/>
              </w:trPr>
              <w:tc>
                <w:tcPr>
                  <w:tcW w:w="612" w:type="dxa"/>
                  <w:noWrap w:val="0"/>
                  <w:vAlign w:val="center"/>
                </w:tcPr>
                <w:p w14:paraId="7E3E3962">
                  <w:pPr>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w:t>
                  </w:r>
                </w:p>
              </w:tc>
              <w:tc>
                <w:tcPr>
                  <w:tcW w:w="4119" w:type="dxa"/>
                  <w:noWrap w:val="0"/>
                  <w:vAlign w:val="center"/>
                </w:tcPr>
                <w:p w14:paraId="086CB638">
                  <w:pPr>
                    <w:pStyle w:val="32"/>
                    <w:keepNext w:val="0"/>
                    <w:keepLines w:val="0"/>
                    <w:pageBreakBefore w:val="0"/>
                    <w:widowControl w:val="0"/>
                    <w:numPr>
                      <w:ilvl w:val="0"/>
                      <w:numId w:val="0"/>
                    </w:numPr>
                    <w:kinsoku/>
                    <w:wordWrap/>
                    <w:overflowPunct/>
                    <w:topLinePunct w:val="0"/>
                    <w:autoSpaceDE/>
                    <w:autoSpaceDN/>
                    <w:bidi w:val="0"/>
                    <w:adjustRightInd/>
                    <w:snapToGrid/>
                    <w:spacing w:after="0" w:line="240" w:lineRule="auto"/>
                    <w:textAlignment w:val="auto"/>
                    <w:rPr>
                      <w:rFonts w:hint="default" w:ascii="Times New Roman" w:hAnsi="Times New Roman" w:cs="Times New Roman"/>
                      <w:color w:val="auto"/>
                      <w:sz w:val="21"/>
                      <w:szCs w:val="21"/>
                      <w:lang w:val="en-US" w:eastAsia="zh-CN"/>
                    </w:rPr>
                  </w:pPr>
                  <w:r>
                    <w:rPr>
                      <w:rFonts w:hint="eastAsia" w:ascii="宋体" w:hAnsi="宋体" w:eastAsia="宋体" w:cs="宋体"/>
                      <w:b w:val="0"/>
                      <w:bCs w:val="0"/>
                      <w:color w:val="auto"/>
                      <w:kern w:val="2"/>
                      <w:sz w:val="21"/>
                      <w:szCs w:val="21"/>
                      <w:lang w:val="en-US" w:eastAsia="zh-CN" w:bidi="ar-SA"/>
                    </w:rPr>
                    <w:t>严格落实《报告表》中提出的废水污染防治措施。生活污水经化粪池处理后，进入污水处理站;生产废水经1座一体化装置污水处理站(日处理能力18m3,采用“调节池+CSTR厌氧反应器”工艺)处理达污水处理协议中废水接纳标准后，排入青川县生活垃圾处理厂渗滤液处理系统进行处置。</w:t>
                  </w:r>
                </w:p>
              </w:tc>
              <w:tc>
                <w:tcPr>
                  <w:tcW w:w="4168" w:type="dxa"/>
                  <w:noWrap w:val="0"/>
                  <w:vAlign w:val="center"/>
                </w:tcPr>
                <w:p w14:paraId="79C97307">
                  <w:pPr>
                    <w:spacing w:line="240" w:lineRule="auto"/>
                    <w:rPr>
                      <w:rFonts w:hint="eastAsia" w:ascii="Times New Roman" w:hAnsi="Times New Roman" w:eastAsia="宋体" w:cs="Times New Roman"/>
                      <w:color w:val="0070C0"/>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已落实《报告表》中提出的废水污染防治措施。生活污水经化粪池处理后，排入青川县生活垃圾处理厂渗滤液处理系统;生产废水经1座一体化装置污水处理站(日处理能力18m3,采用“调节池+CSTR厌氧反应器”工艺)处理达污水处理协议中废水接纳标准后，排入青川县生活垃圾处理厂渗滤液处理系统进行处置。</w:t>
                  </w:r>
                </w:p>
              </w:tc>
            </w:tr>
            <w:tr w14:paraId="5FE6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12" w:type="dxa"/>
                  <w:noWrap w:val="0"/>
                  <w:vAlign w:val="center"/>
                </w:tcPr>
                <w:p w14:paraId="57E23A87">
                  <w:pPr>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4119" w:type="dxa"/>
                  <w:noWrap w:val="0"/>
                  <w:vAlign w:val="center"/>
                </w:tcPr>
                <w:p w14:paraId="68FC31D1">
                  <w:pPr>
                    <w:pStyle w:val="32"/>
                    <w:keepNext w:val="0"/>
                    <w:keepLines w:val="0"/>
                    <w:pageBreakBefore w:val="0"/>
                    <w:widowControl w:val="0"/>
                    <w:numPr>
                      <w:ilvl w:val="0"/>
                      <w:numId w:val="0"/>
                    </w:numPr>
                    <w:kinsoku/>
                    <w:wordWrap/>
                    <w:overflowPunct/>
                    <w:topLinePunct w:val="0"/>
                    <w:autoSpaceDE/>
                    <w:autoSpaceDN/>
                    <w:bidi w:val="0"/>
                    <w:adjustRightInd/>
                    <w:snapToGrid/>
                    <w:spacing w:after="0" w:line="240" w:lineRule="auto"/>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严格落实《报告表》提出的噪声防治措施。选用低噪声设备，基础减震，合理布局，厂房隔声，加强管理等措施。</w:t>
                  </w:r>
                </w:p>
              </w:tc>
              <w:tc>
                <w:tcPr>
                  <w:tcW w:w="4168" w:type="dxa"/>
                  <w:noWrap w:val="0"/>
                  <w:vAlign w:val="center"/>
                </w:tcPr>
                <w:p w14:paraId="24A0CE5E">
                  <w:pPr>
                    <w:spacing w:line="240" w:lineRule="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已落实《报告表》提出的噪声防治措施。选用低噪声设备，基础减震，合理布局，厂房隔声，加强管理等措施。</w:t>
                  </w:r>
                </w:p>
              </w:tc>
            </w:tr>
            <w:tr w14:paraId="15A2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12" w:type="dxa"/>
                  <w:noWrap w:val="0"/>
                  <w:vAlign w:val="center"/>
                </w:tcPr>
                <w:p w14:paraId="45F40F79">
                  <w:pPr>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4119" w:type="dxa"/>
                  <w:noWrap w:val="0"/>
                  <w:vAlign w:val="center"/>
                </w:tcPr>
                <w:p w14:paraId="18903042">
                  <w:pPr>
                    <w:pStyle w:val="32"/>
                    <w:keepNext w:val="0"/>
                    <w:keepLines w:val="0"/>
                    <w:pageBreakBefore w:val="0"/>
                    <w:widowControl w:val="0"/>
                    <w:numPr>
                      <w:ilvl w:val="0"/>
                      <w:numId w:val="0"/>
                    </w:numPr>
                    <w:kinsoku/>
                    <w:wordWrap/>
                    <w:overflowPunct/>
                    <w:topLinePunct w:val="0"/>
                    <w:autoSpaceDE/>
                    <w:autoSpaceDN/>
                    <w:bidi w:val="0"/>
                    <w:adjustRightInd/>
                    <w:snapToGrid/>
                    <w:spacing w:after="0" w:line="240" w:lineRule="auto"/>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严格落实《报告表》提出的固体废物处置措施。废石和废渣等杂质、沼渣、污水处理站污泥经厂内分类袋装收集后交由青川县垃圾填埋场统一清运并妥善处置;生活垃圾经分类袋装收集后交由当地环卫人员清运并妥善处置;废脱硫剂经袋装收集后由厂家定期更换回收处理;废机油、废油桶、含油废抹布等危险废物经分类收集后，暂存于危险废物暂存间，定期交由具有危废处置的资质单位进行清运及处置。</w:t>
                  </w:r>
                </w:p>
                <w:p w14:paraId="4E53FC75">
                  <w:pPr>
                    <w:pStyle w:val="3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 w:val="0"/>
                      <w:bCs w:val="0"/>
                      <w:color w:val="auto"/>
                      <w:kern w:val="2"/>
                      <w:sz w:val="21"/>
                      <w:szCs w:val="21"/>
                      <w:lang w:val="en-US" w:eastAsia="zh-CN" w:bidi="ar-SA"/>
                    </w:rPr>
                  </w:pPr>
                </w:p>
              </w:tc>
              <w:tc>
                <w:tcPr>
                  <w:tcW w:w="4168" w:type="dxa"/>
                  <w:noWrap w:val="0"/>
                  <w:vAlign w:val="center"/>
                </w:tcPr>
                <w:p w14:paraId="6DB2BF66">
                  <w:pPr>
                    <w:pStyle w:val="20"/>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已落实《报告表》提出的固体废物处置措施。废石和废渣等杂质、沼渣、污水处理站污泥经厂内分类袋装收集后交由青川县垃圾填埋场统一清运并妥善处置;生活垃圾经分类袋装收集后交由当地环卫人员清运并妥善处置;废脱硫剂经袋装收集后由厂家定期更换回收处理;项目设备的维护保养由青川县金扳手汽车维修有限公司完成，机修过程中产生的少量废含油棉纱及手套由青川县金扳手汽车维修有限公司带走，现场不设危废暂存间。</w:t>
                  </w:r>
                </w:p>
              </w:tc>
            </w:tr>
          </w:tbl>
          <w:p w14:paraId="08B4F58D">
            <w:pPr>
              <w:spacing w:line="360" w:lineRule="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8</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建设期间和生产期间环境保护检查</w:t>
            </w:r>
          </w:p>
          <w:p w14:paraId="4916D43A">
            <w:pPr>
              <w:spacing w:line="360" w:lineRule="auto"/>
              <w:ind w:firstLine="480"/>
              <w:rPr>
                <w:rFonts w:hint="default"/>
                <w:color w:val="auto"/>
              </w:rPr>
            </w:pPr>
            <w:r>
              <w:rPr>
                <w:rFonts w:hint="eastAsia" w:ascii="Times New Roman" w:hAnsi="Times New Roman" w:cs="Times New Roman"/>
                <w:color w:val="auto"/>
                <w:sz w:val="24"/>
                <w:szCs w:val="24"/>
                <w:lang w:val="en-US" w:eastAsia="zh-CN"/>
              </w:rPr>
              <w:t>广元市</w:t>
            </w:r>
            <w:r>
              <w:rPr>
                <w:rFonts w:hint="eastAsia" w:cs="Times New Roman"/>
                <w:color w:val="auto"/>
                <w:sz w:val="24"/>
                <w:szCs w:val="24"/>
                <w:lang w:val="en-US" w:eastAsia="zh-CN"/>
              </w:rPr>
              <w:t>青川生态</w:t>
            </w:r>
            <w:r>
              <w:rPr>
                <w:rFonts w:hint="eastAsia" w:ascii="Times New Roman" w:hAnsi="Times New Roman" w:cs="Times New Roman"/>
                <w:color w:val="auto"/>
                <w:sz w:val="24"/>
                <w:szCs w:val="24"/>
                <w:lang w:val="en-US" w:eastAsia="zh-CN"/>
              </w:rPr>
              <w:t>环境</w:t>
            </w:r>
            <w:r>
              <w:rPr>
                <w:rFonts w:hint="eastAsia" w:cs="Times New Roman"/>
                <w:color w:val="auto"/>
                <w:sz w:val="24"/>
                <w:szCs w:val="24"/>
                <w:lang w:val="en-US" w:eastAsia="zh-CN"/>
              </w:rPr>
              <w:t>局</w:t>
            </w:r>
            <w:r>
              <w:rPr>
                <w:rFonts w:hint="eastAsia" w:ascii="Times New Roman" w:hAnsi="Times New Roman" w:cs="Times New Roman"/>
                <w:color w:val="auto"/>
                <w:sz w:val="24"/>
                <w:szCs w:val="24"/>
                <w:lang w:val="en-US" w:eastAsia="zh-CN"/>
              </w:rPr>
              <w:t>监察执法支队</w:t>
            </w:r>
            <w:r>
              <w:rPr>
                <w:rFonts w:hint="default" w:ascii="Times New Roman" w:hAnsi="Times New Roman" w:cs="Times New Roman"/>
                <w:color w:val="auto"/>
                <w:sz w:val="24"/>
                <w:szCs w:val="24"/>
              </w:rPr>
              <w:t>负责该项目建设期间和生产期间环境保护监督检查工作。经核实，该项目建设期间和生产期间未发生扰民事件和污染事故。</w:t>
            </w:r>
          </w:p>
          <w:p w14:paraId="55110C44">
            <w:pPr>
              <w:spacing w:line="360" w:lineRule="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9</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公众参与意见调查</w:t>
            </w:r>
          </w:p>
          <w:p w14:paraId="124F9394">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验收</w:t>
            </w:r>
            <w:r>
              <w:rPr>
                <w:rFonts w:hint="eastAsia" w:ascii="Times New Roman" w:hAnsi="Times New Roman" w:cs="Times New Roman"/>
                <w:color w:val="auto"/>
                <w:sz w:val="24"/>
                <w:szCs w:val="24"/>
                <w:lang w:eastAsia="zh-CN"/>
              </w:rPr>
              <w:t>检测</w:t>
            </w:r>
            <w:r>
              <w:rPr>
                <w:rFonts w:hint="default" w:ascii="Times New Roman" w:hAnsi="Times New Roman" w:cs="Times New Roman"/>
                <w:color w:val="auto"/>
                <w:sz w:val="24"/>
                <w:szCs w:val="24"/>
              </w:rPr>
              <w:t>期间，对项目周边居民进行了调查，调查采用发放公众意见调查表的方法。调查结果如下：</w:t>
            </w:r>
          </w:p>
          <w:p w14:paraId="0918B32E">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共发放调查表1</w:t>
            </w:r>
            <w:r>
              <w:rPr>
                <w:rFonts w:hint="eastAsia" w:cs="Times New Roman"/>
                <w:color w:val="auto"/>
                <w:sz w:val="24"/>
                <w:szCs w:val="24"/>
                <w:lang w:val="en-US" w:eastAsia="zh-CN"/>
              </w:rPr>
              <w:t>5</w:t>
            </w:r>
            <w:r>
              <w:rPr>
                <w:rFonts w:hint="default" w:ascii="Times New Roman" w:hAnsi="Times New Roman" w:cs="Times New Roman"/>
                <w:color w:val="auto"/>
                <w:sz w:val="24"/>
                <w:szCs w:val="24"/>
              </w:rPr>
              <w:t>份，回收1</w:t>
            </w:r>
            <w:r>
              <w:rPr>
                <w:rFonts w:hint="eastAsia" w:cs="Times New Roman"/>
                <w:color w:val="auto"/>
                <w:sz w:val="24"/>
                <w:szCs w:val="24"/>
                <w:lang w:val="en-US" w:eastAsia="zh-CN"/>
              </w:rPr>
              <w:t>5</w:t>
            </w:r>
            <w:r>
              <w:rPr>
                <w:rFonts w:hint="default" w:ascii="Times New Roman" w:hAnsi="Times New Roman" w:cs="Times New Roman"/>
                <w:color w:val="auto"/>
                <w:sz w:val="24"/>
                <w:szCs w:val="24"/>
              </w:rPr>
              <w:t>份，调查结果有效。100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%的被调查公众表示项目</w:t>
            </w:r>
            <w:r>
              <w:rPr>
                <w:rFonts w:hint="eastAsia" w:cs="Times New Roman"/>
                <w:color w:val="auto"/>
                <w:sz w:val="24"/>
                <w:szCs w:val="24"/>
                <w:lang w:val="en-US" w:eastAsia="zh-CN"/>
              </w:rPr>
              <w:t>建设</w:t>
            </w:r>
            <w:r>
              <w:rPr>
                <w:rFonts w:hint="default" w:ascii="Times New Roman" w:hAnsi="Times New Roman" w:cs="Times New Roman"/>
                <w:color w:val="auto"/>
                <w:sz w:val="24"/>
                <w:szCs w:val="24"/>
              </w:rPr>
              <w:t>对</w:t>
            </w:r>
            <w:r>
              <w:rPr>
                <w:rFonts w:hint="eastAsia" w:cs="Times New Roman"/>
                <w:color w:val="auto"/>
                <w:sz w:val="24"/>
                <w:szCs w:val="24"/>
                <w:lang w:val="en-US" w:eastAsia="zh-CN"/>
              </w:rPr>
              <w:t>生活和工作</w:t>
            </w:r>
            <w:r>
              <w:rPr>
                <w:rFonts w:hint="default" w:ascii="Times New Roman" w:hAnsi="Times New Roman" w:cs="Times New Roman"/>
                <w:color w:val="auto"/>
                <w:sz w:val="24"/>
                <w:szCs w:val="24"/>
              </w:rPr>
              <w:t>没有</w:t>
            </w:r>
            <w:r>
              <w:rPr>
                <w:rFonts w:hint="eastAsia" w:cs="Times New Roman"/>
                <w:color w:val="auto"/>
                <w:sz w:val="24"/>
                <w:szCs w:val="24"/>
                <w:lang w:val="en-US" w:eastAsia="zh-CN"/>
              </w:rPr>
              <w:t>影响</w:t>
            </w:r>
            <w:r>
              <w:rPr>
                <w:rFonts w:hint="default" w:ascii="Times New Roman" w:hAnsi="Times New Roman" w:cs="Times New Roman"/>
                <w:color w:val="auto"/>
                <w:sz w:val="24"/>
                <w:szCs w:val="24"/>
              </w:rPr>
              <w:t>；100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%的被调查公众表示项目</w:t>
            </w:r>
            <w:r>
              <w:rPr>
                <w:rFonts w:hint="eastAsia" w:cs="Times New Roman"/>
                <w:color w:val="auto"/>
                <w:sz w:val="24"/>
                <w:szCs w:val="24"/>
                <w:lang w:val="en-US" w:eastAsia="zh-CN"/>
              </w:rPr>
              <w:t>施工期间</w:t>
            </w:r>
            <w:r>
              <w:rPr>
                <w:rFonts w:hint="default" w:ascii="Times New Roman" w:hAnsi="Times New Roman" w:cs="Times New Roman"/>
                <w:color w:val="auto"/>
                <w:sz w:val="24"/>
                <w:szCs w:val="24"/>
              </w:rPr>
              <w:t>对</w:t>
            </w:r>
            <w:r>
              <w:rPr>
                <w:rFonts w:hint="eastAsia" w:cs="Times New Roman"/>
                <w:color w:val="auto"/>
                <w:sz w:val="24"/>
                <w:szCs w:val="24"/>
                <w:lang w:val="en-US" w:eastAsia="zh-CN"/>
              </w:rPr>
              <w:t>生活和工作</w:t>
            </w:r>
            <w:r>
              <w:rPr>
                <w:rFonts w:hint="default" w:ascii="Times New Roman" w:hAnsi="Times New Roman" w:cs="Times New Roman"/>
                <w:color w:val="auto"/>
                <w:sz w:val="24"/>
                <w:szCs w:val="24"/>
              </w:rPr>
              <w:t>没有</w:t>
            </w:r>
            <w:r>
              <w:rPr>
                <w:rFonts w:hint="eastAsia" w:cs="Times New Roman"/>
                <w:color w:val="auto"/>
                <w:sz w:val="24"/>
                <w:szCs w:val="24"/>
                <w:lang w:val="en-US" w:eastAsia="zh-CN"/>
              </w:rPr>
              <w:t>影响</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100</w:t>
            </w:r>
            <w:r>
              <w:rPr>
                <w:rFonts w:hint="default" w:ascii="Times New Roman" w:hAnsi="Times New Roman" w:cs="Times New Roman"/>
                <w:color w:val="auto"/>
                <w:sz w:val="24"/>
                <w:szCs w:val="24"/>
                <w:lang w:val="en-US" w:eastAsia="zh-CN"/>
              </w:rPr>
              <w:t xml:space="preserve"> %的被调查公众表示</w:t>
            </w:r>
            <w:r>
              <w:rPr>
                <w:rFonts w:hint="default" w:ascii="Times New Roman" w:hAnsi="Times New Roman" w:cs="Times New Roman"/>
                <w:color w:val="auto"/>
                <w:sz w:val="24"/>
                <w:szCs w:val="24"/>
                <w:lang w:eastAsia="zh-CN"/>
              </w:rPr>
              <w:t>项目试生产和施工期对自己生活和生产无影响</w:t>
            </w:r>
            <w:r>
              <w:rPr>
                <w:rFonts w:hint="default" w:ascii="Times New Roman" w:hAnsi="Times New Roman" w:cs="Times New Roman"/>
                <w:color w:val="auto"/>
                <w:sz w:val="24"/>
                <w:szCs w:val="24"/>
              </w:rPr>
              <w:t>；100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%的被调查公众表示项目产生的废气对大气</w:t>
            </w:r>
            <w:r>
              <w:rPr>
                <w:rFonts w:hint="eastAsia" w:cs="Times New Roman"/>
                <w:color w:val="auto"/>
                <w:sz w:val="24"/>
                <w:szCs w:val="24"/>
                <w:lang w:val="en-US" w:eastAsia="zh-CN"/>
              </w:rPr>
              <w:t>环境</w:t>
            </w:r>
            <w:r>
              <w:rPr>
                <w:rFonts w:hint="default" w:ascii="Times New Roman" w:hAnsi="Times New Roman" w:cs="Times New Roman"/>
                <w:color w:val="auto"/>
                <w:sz w:val="24"/>
                <w:szCs w:val="24"/>
              </w:rPr>
              <w:t>没有影响；100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%的被调查公众表示项目产生的废水对水环境没有影响；100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%的被调查公众表示项目产生的噪声对生活和工作没有影响；100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%的被调查公众表示项目产生的固体废物对环境无影响；100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的被调查公众同意该项目的竣工环保验收；所有被调查的公众均未提出其他建议和意见。周围居民对该项目的环境保护工作是满意的，认为该项目基本不会影响区域环境质量和人民生活，对该项目竣工环保验收是同意的。</w:t>
            </w:r>
          </w:p>
          <w:p w14:paraId="3A8E2E9C">
            <w:pPr>
              <w:spacing w:line="360" w:lineRule="auto"/>
              <w:ind w:firstLine="480"/>
              <w:rPr>
                <w:rFonts w:hint="default" w:ascii="Times New Roman" w:hAnsi="Times New Roman" w:cs="Times New Roman"/>
                <w:b/>
                <w:bCs/>
                <w:color w:val="auto"/>
                <w:sz w:val="24"/>
                <w:szCs w:val="24"/>
                <w:lang w:val="en-US" w:eastAsia="zh-CN"/>
              </w:rPr>
            </w:pPr>
            <w:r>
              <w:rPr>
                <w:rFonts w:hint="default" w:ascii="Times New Roman" w:hAnsi="Times New Roman" w:cs="Times New Roman"/>
                <w:color w:val="auto"/>
                <w:sz w:val="24"/>
                <w:szCs w:val="24"/>
              </w:rPr>
              <w:t>调查结果见下表：</w:t>
            </w:r>
          </w:p>
          <w:p w14:paraId="7B3AD5E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表</w:t>
            </w:r>
            <w:r>
              <w:rPr>
                <w:rFonts w:hint="eastAsia" w:cs="Times New Roman"/>
                <w:b/>
                <w:bCs/>
                <w:color w:val="auto"/>
                <w:sz w:val="24"/>
                <w:szCs w:val="24"/>
                <w:lang w:val="en-US" w:eastAsia="zh-CN"/>
              </w:rPr>
              <w:t>9</w:t>
            </w:r>
            <w:r>
              <w:rPr>
                <w:rFonts w:hint="default" w:ascii="Times New Roman" w:hAnsi="Times New Roman" w:cs="Times New Roman"/>
                <w:b/>
                <w:bCs/>
                <w:color w:val="auto"/>
                <w:sz w:val="24"/>
                <w:szCs w:val="24"/>
                <w:lang w:val="en-US" w:eastAsia="zh-CN"/>
              </w:rPr>
              <w:t>-2   公众意见调查统计表</w:t>
            </w:r>
          </w:p>
          <w:tbl>
            <w:tblPr>
              <w:tblStyle w:val="33"/>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5"/>
              <w:gridCol w:w="1213"/>
              <w:gridCol w:w="1025"/>
              <w:gridCol w:w="1225"/>
              <w:gridCol w:w="706"/>
              <w:gridCol w:w="1063"/>
              <w:gridCol w:w="361"/>
            </w:tblGrid>
            <w:tr w14:paraId="0A2D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245" w:type="dxa"/>
                  <w:noWrap w:val="0"/>
                  <w:vAlign w:val="center"/>
                </w:tcPr>
                <w:p w14:paraId="5F8675D8">
                  <w:pPr>
                    <w:adjustRightInd w:val="0"/>
                    <w:snapToGrid w:val="0"/>
                    <w:spacing w:before="100" w:beforeAutospacing="1"/>
                    <w:ind w:firstLine="420"/>
                    <w:jc w:val="center"/>
                    <w:rPr>
                      <w:rFonts w:hint="default" w:ascii="Times New Roman" w:hAnsi="Times New Roman" w:cs="Times New Roman"/>
                      <w:bCs/>
                      <w:color w:val="auto"/>
                    </w:rPr>
                  </w:pPr>
                  <w:r>
                    <w:rPr>
                      <w:rFonts w:hint="default" w:ascii="Times New Roman" w:hAnsi="Times New Roman" w:cs="Times New Roman"/>
                      <w:bCs/>
                      <w:color w:val="auto"/>
                    </w:rPr>
                    <w:t>调查内容</w:t>
                  </w:r>
                </w:p>
              </w:tc>
              <w:tc>
                <w:tcPr>
                  <w:tcW w:w="5593" w:type="dxa"/>
                  <w:gridSpan w:val="6"/>
                  <w:noWrap w:val="0"/>
                  <w:vAlign w:val="center"/>
                </w:tcPr>
                <w:p w14:paraId="311D947D">
                  <w:pPr>
                    <w:adjustRightInd w:val="0"/>
                    <w:snapToGrid w:val="0"/>
                    <w:spacing w:before="100" w:beforeAutospacing="1"/>
                    <w:ind w:firstLine="420"/>
                    <w:jc w:val="center"/>
                    <w:rPr>
                      <w:rFonts w:hint="default" w:ascii="Times New Roman" w:hAnsi="Times New Roman" w:cs="Times New Roman"/>
                      <w:bCs/>
                      <w:color w:val="auto"/>
                    </w:rPr>
                  </w:pPr>
                  <w:r>
                    <w:rPr>
                      <w:rFonts w:hint="default" w:ascii="Times New Roman" w:hAnsi="Times New Roman" w:cs="Times New Roman"/>
                      <w:bCs/>
                      <w:color w:val="auto"/>
                    </w:rPr>
                    <w:t>调查结果</w:t>
                  </w:r>
                </w:p>
              </w:tc>
            </w:tr>
            <w:tr w14:paraId="14E6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245" w:type="dxa"/>
                  <w:noWrap w:val="0"/>
                  <w:vAlign w:val="center"/>
                </w:tcPr>
                <w:p w14:paraId="5E90A523">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项目建设是否影响您的生活和工作?</w:t>
                  </w:r>
                </w:p>
              </w:tc>
              <w:tc>
                <w:tcPr>
                  <w:tcW w:w="1213" w:type="dxa"/>
                  <w:noWrap w:val="0"/>
                  <w:vAlign w:val="center"/>
                </w:tcPr>
                <w:p w14:paraId="53377F68">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没有污染</w:t>
                  </w:r>
                </w:p>
              </w:tc>
              <w:tc>
                <w:tcPr>
                  <w:tcW w:w="1025" w:type="dxa"/>
                  <w:noWrap w:val="0"/>
                  <w:vAlign w:val="center"/>
                </w:tcPr>
                <w:p w14:paraId="05913AE9">
                  <w:pPr>
                    <w:adjustRightInd w:val="0"/>
                    <w:snapToGrid w:val="0"/>
                    <w:spacing w:before="100" w:beforeAutospacing="1"/>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100 %</w:t>
                  </w:r>
                </w:p>
              </w:tc>
              <w:tc>
                <w:tcPr>
                  <w:tcW w:w="1225" w:type="dxa"/>
                  <w:noWrap w:val="0"/>
                  <w:vAlign w:val="center"/>
                </w:tcPr>
                <w:p w14:paraId="188FBB23">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轻度污染</w:t>
                  </w:r>
                </w:p>
              </w:tc>
              <w:tc>
                <w:tcPr>
                  <w:tcW w:w="706" w:type="dxa"/>
                  <w:noWrap w:val="0"/>
                  <w:vAlign w:val="center"/>
                </w:tcPr>
                <w:p w14:paraId="6BAE52B1">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c>
                <w:tcPr>
                  <w:tcW w:w="1063" w:type="dxa"/>
                  <w:noWrap w:val="0"/>
                  <w:vAlign w:val="center"/>
                </w:tcPr>
                <w:p w14:paraId="2DC2179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严重污染</w:t>
                  </w:r>
                </w:p>
              </w:tc>
              <w:tc>
                <w:tcPr>
                  <w:tcW w:w="361" w:type="dxa"/>
                  <w:noWrap w:val="0"/>
                  <w:vAlign w:val="center"/>
                </w:tcPr>
                <w:p w14:paraId="28C864E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36DB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53598A4B">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项目施工期间对您的生活和工作有无影响?</w:t>
                  </w:r>
                </w:p>
              </w:tc>
              <w:tc>
                <w:tcPr>
                  <w:tcW w:w="1213" w:type="dxa"/>
                  <w:noWrap w:val="0"/>
                  <w:vAlign w:val="center"/>
                </w:tcPr>
                <w:p w14:paraId="5D99B755">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没有影响</w:t>
                  </w:r>
                </w:p>
              </w:tc>
              <w:tc>
                <w:tcPr>
                  <w:tcW w:w="1025" w:type="dxa"/>
                  <w:noWrap w:val="0"/>
                  <w:vAlign w:val="center"/>
                </w:tcPr>
                <w:p w14:paraId="3E19DAD2">
                  <w:pPr>
                    <w:adjustRightInd w:val="0"/>
                    <w:snapToGrid w:val="0"/>
                    <w:spacing w:before="100" w:beforeAutospacing="1"/>
                    <w:jc w:val="center"/>
                    <w:rPr>
                      <w:rFonts w:hint="default" w:ascii="Times New Roman" w:hAnsi="Times New Roman" w:cs="Times New Roman"/>
                      <w:color w:val="auto"/>
                    </w:rPr>
                  </w:pPr>
                  <w:r>
                    <w:rPr>
                      <w:rFonts w:hint="eastAsia" w:ascii="Times New Roman" w:hAnsi="Times New Roman" w:cs="Times New Roman"/>
                      <w:color w:val="auto"/>
                      <w:lang w:val="en-US" w:eastAsia="zh-CN"/>
                    </w:rPr>
                    <w:t>100 %</w:t>
                  </w:r>
                </w:p>
              </w:tc>
              <w:tc>
                <w:tcPr>
                  <w:tcW w:w="1225" w:type="dxa"/>
                  <w:noWrap w:val="0"/>
                  <w:vAlign w:val="center"/>
                </w:tcPr>
                <w:p w14:paraId="2CB5B2C6">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影响较轻</w:t>
                  </w:r>
                </w:p>
              </w:tc>
              <w:tc>
                <w:tcPr>
                  <w:tcW w:w="706" w:type="dxa"/>
                  <w:noWrap w:val="0"/>
                  <w:vAlign w:val="center"/>
                </w:tcPr>
                <w:p w14:paraId="39A1F3B1">
                  <w:pPr>
                    <w:adjustRightInd w:val="0"/>
                    <w:snapToGrid w:val="0"/>
                    <w:spacing w:before="100" w:beforeAutospacing="1"/>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 xml:space="preserve">0 </w:t>
                  </w:r>
                </w:p>
              </w:tc>
              <w:tc>
                <w:tcPr>
                  <w:tcW w:w="1063" w:type="dxa"/>
                  <w:noWrap w:val="0"/>
                  <w:vAlign w:val="center"/>
                </w:tcPr>
                <w:p w14:paraId="35C4A2B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影响较重</w:t>
                  </w:r>
                </w:p>
              </w:tc>
              <w:tc>
                <w:tcPr>
                  <w:tcW w:w="361" w:type="dxa"/>
                  <w:noWrap w:val="0"/>
                  <w:vAlign w:val="center"/>
                </w:tcPr>
                <w:p w14:paraId="5E7841D8">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7EF3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245" w:type="dxa"/>
                  <w:noWrap w:val="0"/>
                  <w:vAlign w:val="center"/>
                </w:tcPr>
                <w:p w14:paraId="16624DDA">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项目生产期间对您生活和工作有无影响?</w:t>
                  </w:r>
                </w:p>
              </w:tc>
              <w:tc>
                <w:tcPr>
                  <w:tcW w:w="1213" w:type="dxa"/>
                  <w:noWrap w:val="0"/>
                  <w:vAlign w:val="center"/>
                </w:tcPr>
                <w:p w14:paraId="255A35F8">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没有影响</w:t>
                  </w:r>
                </w:p>
              </w:tc>
              <w:tc>
                <w:tcPr>
                  <w:tcW w:w="1025" w:type="dxa"/>
                  <w:noWrap w:val="0"/>
                  <w:vAlign w:val="center"/>
                </w:tcPr>
                <w:p w14:paraId="7CAD9229">
                  <w:pPr>
                    <w:adjustRightInd w:val="0"/>
                    <w:snapToGrid w:val="0"/>
                    <w:spacing w:before="100" w:beforeAutospacing="1"/>
                    <w:jc w:val="center"/>
                    <w:rPr>
                      <w:rFonts w:hint="default" w:ascii="Times New Roman" w:hAnsi="Times New Roman" w:cs="Times New Roman"/>
                      <w:color w:val="auto"/>
                    </w:rPr>
                  </w:pPr>
                  <w:r>
                    <w:rPr>
                      <w:rFonts w:hint="eastAsia" w:ascii="Times New Roman" w:hAnsi="Times New Roman" w:cs="Times New Roman"/>
                      <w:color w:val="auto"/>
                      <w:lang w:val="en-US" w:eastAsia="zh-CN"/>
                    </w:rPr>
                    <w:t>100%</w:t>
                  </w:r>
                </w:p>
              </w:tc>
              <w:tc>
                <w:tcPr>
                  <w:tcW w:w="1225" w:type="dxa"/>
                  <w:noWrap w:val="0"/>
                  <w:vAlign w:val="center"/>
                </w:tcPr>
                <w:p w14:paraId="441DBE1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影响较轻</w:t>
                  </w:r>
                </w:p>
              </w:tc>
              <w:tc>
                <w:tcPr>
                  <w:tcW w:w="706" w:type="dxa"/>
                  <w:noWrap w:val="0"/>
                  <w:vAlign w:val="center"/>
                </w:tcPr>
                <w:p w14:paraId="3044C3D2">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c>
                <w:tcPr>
                  <w:tcW w:w="1063" w:type="dxa"/>
                  <w:noWrap w:val="0"/>
                  <w:vAlign w:val="center"/>
                </w:tcPr>
                <w:p w14:paraId="2EB4246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影响较重</w:t>
                  </w:r>
                </w:p>
              </w:tc>
              <w:tc>
                <w:tcPr>
                  <w:tcW w:w="361" w:type="dxa"/>
                  <w:noWrap w:val="0"/>
                  <w:vAlign w:val="center"/>
                </w:tcPr>
                <w:p w14:paraId="3EC64D49">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7319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3DBB62F9">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项目产生的废气是否影响了大气环境质量?</w:t>
                  </w:r>
                </w:p>
              </w:tc>
              <w:tc>
                <w:tcPr>
                  <w:tcW w:w="1213" w:type="dxa"/>
                  <w:noWrap w:val="0"/>
                  <w:vAlign w:val="center"/>
                </w:tcPr>
                <w:p w14:paraId="3CACDD26">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没有影响</w:t>
                  </w:r>
                </w:p>
              </w:tc>
              <w:tc>
                <w:tcPr>
                  <w:tcW w:w="1025" w:type="dxa"/>
                  <w:noWrap w:val="0"/>
                  <w:vAlign w:val="center"/>
                </w:tcPr>
                <w:p w14:paraId="4F684F1A">
                  <w:pPr>
                    <w:adjustRightInd w:val="0"/>
                    <w:snapToGrid w:val="0"/>
                    <w:spacing w:before="100" w:beforeAutospacing="1"/>
                    <w:jc w:val="center"/>
                    <w:rPr>
                      <w:rFonts w:hint="default" w:ascii="Times New Roman" w:hAnsi="Times New Roman" w:cs="Times New Roman"/>
                      <w:color w:val="auto"/>
                    </w:rPr>
                  </w:pPr>
                  <w:r>
                    <w:rPr>
                      <w:rFonts w:hint="eastAsia" w:ascii="Times New Roman" w:hAnsi="Times New Roman" w:cs="Times New Roman"/>
                      <w:color w:val="auto"/>
                      <w:lang w:val="en-US" w:eastAsia="zh-CN"/>
                    </w:rPr>
                    <w:t>100%</w:t>
                  </w:r>
                </w:p>
              </w:tc>
              <w:tc>
                <w:tcPr>
                  <w:tcW w:w="1225" w:type="dxa"/>
                  <w:noWrap w:val="0"/>
                  <w:vAlign w:val="center"/>
                </w:tcPr>
                <w:p w14:paraId="49BFDB5B">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影响较轻</w:t>
                  </w:r>
                </w:p>
              </w:tc>
              <w:tc>
                <w:tcPr>
                  <w:tcW w:w="706" w:type="dxa"/>
                  <w:noWrap w:val="0"/>
                  <w:vAlign w:val="center"/>
                </w:tcPr>
                <w:p w14:paraId="0BE4F1DC">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c>
                <w:tcPr>
                  <w:tcW w:w="1063" w:type="dxa"/>
                  <w:noWrap w:val="0"/>
                  <w:vAlign w:val="center"/>
                </w:tcPr>
                <w:p w14:paraId="7E5C237A">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影响较重</w:t>
                  </w:r>
                </w:p>
              </w:tc>
              <w:tc>
                <w:tcPr>
                  <w:tcW w:w="361" w:type="dxa"/>
                  <w:noWrap w:val="0"/>
                  <w:vAlign w:val="center"/>
                </w:tcPr>
                <w:p w14:paraId="2F04A17F">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59B3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7BF521D8">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项目产生的废水是否对水环境产生影响?</w:t>
                  </w:r>
                </w:p>
              </w:tc>
              <w:tc>
                <w:tcPr>
                  <w:tcW w:w="1213" w:type="dxa"/>
                  <w:noWrap w:val="0"/>
                  <w:vAlign w:val="center"/>
                </w:tcPr>
                <w:p w14:paraId="6F4F0B52">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没有影响</w:t>
                  </w:r>
                </w:p>
              </w:tc>
              <w:tc>
                <w:tcPr>
                  <w:tcW w:w="1025" w:type="dxa"/>
                  <w:noWrap w:val="0"/>
                  <w:vAlign w:val="center"/>
                </w:tcPr>
                <w:p w14:paraId="5E1C97A6">
                  <w:pPr>
                    <w:adjustRightInd w:val="0"/>
                    <w:snapToGrid w:val="0"/>
                    <w:spacing w:before="100" w:beforeAutospacing="1"/>
                    <w:jc w:val="center"/>
                    <w:rPr>
                      <w:rFonts w:hint="default" w:ascii="Times New Roman" w:hAnsi="Times New Roman" w:cs="Times New Roman"/>
                      <w:color w:val="auto"/>
                    </w:rPr>
                  </w:pPr>
                  <w:r>
                    <w:rPr>
                      <w:rFonts w:hint="eastAsia" w:ascii="Times New Roman" w:hAnsi="Times New Roman" w:cs="Times New Roman"/>
                      <w:color w:val="auto"/>
                      <w:lang w:val="en-US" w:eastAsia="zh-CN"/>
                    </w:rPr>
                    <w:t>100%</w:t>
                  </w:r>
                </w:p>
              </w:tc>
              <w:tc>
                <w:tcPr>
                  <w:tcW w:w="1225" w:type="dxa"/>
                  <w:noWrap w:val="0"/>
                  <w:vAlign w:val="center"/>
                </w:tcPr>
                <w:p w14:paraId="38B55E49">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影响较轻</w:t>
                  </w:r>
                </w:p>
              </w:tc>
              <w:tc>
                <w:tcPr>
                  <w:tcW w:w="706" w:type="dxa"/>
                  <w:noWrap w:val="0"/>
                  <w:vAlign w:val="center"/>
                </w:tcPr>
                <w:p w14:paraId="4CD1F71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c>
                <w:tcPr>
                  <w:tcW w:w="1063" w:type="dxa"/>
                  <w:noWrap w:val="0"/>
                  <w:vAlign w:val="center"/>
                </w:tcPr>
                <w:p w14:paraId="12AB4BF0">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影响较重</w:t>
                  </w:r>
                </w:p>
              </w:tc>
              <w:tc>
                <w:tcPr>
                  <w:tcW w:w="361" w:type="dxa"/>
                  <w:noWrap w:val="0"/>
                  <w:vAlign w:val="center"/>
                </w:tcPr>
                <w:p w14:paraId="7F504A88">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45E3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704D6AA3">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项目产生的噪声是否影响您的生活和工作?</w:t>
                  </w:r>
                </w:p>
              </w:tc>
              <w:tc>
                <w:tcPr>
                  <w:tcW w:w="1213" w:type="dxa"/>
                  <w:noWrap w:val="0"/>
                  <w:vAlign w:val="center"/>
                </w:tcPr>
                <w:p w14:paraId="0EDA3C35">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没有影响</w:t>
                  </w:r>
                </w:p>
              </w:tc>
              <w:tc>
                <w:tcPr>
                  <w:tcW w:w="1025" w:type="dxa"/>
                  <w:noWrap w:val="0"/>
                  <w:vAlign w:val="center"/>
                </w:tcPr>
                <w:p w14:paraId="6476ADDC">
                  <w:pPr>
                    <w:adjustRightInd w:val="0"/>
                    <w:snapToGrid w:val="0"/>
                    <w:spacing w:before="100" w:beforeAutospacing="1"/>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100%</w:t>
                  </w:r>
                </w:p>
              </w:tc>
              <w:tc>
                <w:tcPr>
                  <w:tcW w:w="1225" w:type="dxa"/>
                  <w:noWrap w:val="0"/>
                  <w:vAlign w:val="center"/>
                </w:tcPr>
                <w:p w14:paraId="693E5A6B">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影响较轻</w:t>
                  </w:r>
                </w:p>
              </w:tc>
              <w:tc>
                <w:tcPr>
                  <w:tcW w:w="706" w:type="dxa"/>
                  <w:noWrap w:val="0"/>
                  <w:vAlign w:val="center"/>
                </w:tcPr>
                <w:p w14:paraId="6EBC05BC">
                  <w:pPr>
                    <w:adjustRightInd w:val="0"/>
                    <w:snapToGrid w:val="0"/>
                    <w:spacing w:before="100" w:beforeAutospacing="1"/>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w:t>
                  </w:r>
                </w:p>
              </w:tc>
              <w:tc>
                <w:tcPr>
                  <w:tcW w:w="1063" w:type="dxa"/>
                  <w:noWrap w:val="0"/>
                  <w:vAlign w:val="center"/>
                </w:tcPr>
                <w:p w14:paraId="7554065D">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影响较重</w:t>
                  </w:r>
                </w:p>
              </w:tc>
              <w:tc>
                <w:tcPr>
                  <w:tcW w:w="361" w:type="dxa"/>
                  <w:noWrap w:val="0"/>
                  <w:vAlign w:val="center"/>
                </w:tcPr>
                <w:p w14:paraId="2931A1FB">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1074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3A7F52F0">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项目产生的固体废物是否对环境产生影响?</w:t>
                  </w:r>
                </w:p>
              </w:tc>
              <w:tc>
                <w:tcPr>
                  <w:tcW w:w="1213" w:type="dxa"/>
                  <w:noWrap w:val="0"/>
                  <w:vAlign w:val="center"/>
                </w:tcPr>
                <w:p w14:paraId="4897F141">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没有影响</w:t>
                  </w:r>
                </w:p>
              </w:tc>
              <w:tc>
                <w:tcPr>
                  <w:tcW w:w="1025" w:type="dxa"/>
                  <w:noWrap w:val="0"/>
                  <w:vAlign w:val="center"/>
                </w:tcPr>
                <w:p w14:paraId="68337A5B">
                  <w:pPr>
                    <w:adjustRightInd w:val="0"/>
                    <w:snapToGrid w:val="0"/>
                    <w:spacing w:before="100" w:beforeAutospacing="1"/>
                    <w:jc w:val="center"/>
                    <w:rPr>
                      <w:rFonts w:hint="default" w:ascii="Times New Roman" w:hAnsi="Times New Roman" w:cs="Times New Roman"/>
                      <w:color w:val="auto"/>
                    </w:rPr>
                  </w:pPr>
                  <w:r>
                    <w:rPr>
                      <w:rFonts w:hint="eastAsia" w:ascii="Times New Roman" w:hAnsi="Times New Roman" w:cs="Times New Roman"/>
                      <w:color w:val="auto"/>
                      <w:lang w:val="en-US" w:eastAsia="zh-CN"/>
                    </w:rPr>
                    <w:t>100%</w:t>
                  </w:r>
                </w:p>
              </w:tc>
              <w:tc>
                <w:tcPr>
                  <w:tcW w:w="1225" w:type="dxa"/>
                  <w:noWrap w:val="0"/>
                  <w:vAlign w:val="center"/>
                </w:tcPr>
                <w:p w14:paraId="326038B2">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影响较轻</w:t>
                  </w:r>
                </w:p>
              </w:tc>
              <w:tc>
                <w:tcPr>
                  <w:tcW w:w="706" w:type="dxa"/>
                  <w:noWrap w:val="0"/>
                  <w:vAlign w:val="center"/>
                </w:tcPr>
                <w:p w14:paraId="117EC82C">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c>
                <w:tcPr>
                  <w:tcW w:w="1063" w:type="dxa"/>
                  <w:noWrap w:val="0"/>
                  <w:vAlign w:val="center"/>
                </w:tcPr>
                <w:p w14:paraId="761BD95C">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影响较重</w:t>
                  </w:r>
                </w:p>
              </w:tc>
              <w:tc>
                <w:tcPr>
                  <w:tcW w:w="361" w:type="dxa"/>
                  <w:noWrap w:val="0"/>
                  <w:vAlign w:val="center"/>
                </w:tcPr>
                <w:p w14:paraId="1CFD636D">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0F04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5FC4D093">
                  <w:pPr>
                    <w:snapToGrid w:val="0"/>
                    <w:spacing w:line="240" w:lineRule="exact"/>
                    <w:rPr>
                      <w:rFonts w:hint="default" w:ascii="Times New Roman" w:hAnsi="Times New Roman" w:cs="Times New Roman"/>
                      <w:color w:val="auto"/>
                    </w:rPr>
                  </w:pPr>
                  <w:r>
                    <w:rPr>
                      <w:rFonts w:hint="default" w:ascii="Times New Roman" w:hAnsi="Times New Roman" w:cs="Times New Roman"/>
                      <w:szCs w:val="20"/>
                    </w:rPr>
                    <w:t>对该项目竣工环保验收的态度</w:t>
                  </w:r>
                </w:p>
              </w:tc>
              <w:tc>
                <w:tcPr>
                  <w:tcW w:w="1213" w:type="dxa"/>
                  <w:noWrap w:val="0"/>
                  <w:vAlign w:val="center"/>
                </w:tcPr>
                <w:p w14:paraId="423F019C">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同意</w:t>
                  </w:r>
                </w:p>
              </w:tc>
              <w:tc>
                <w:tcPr>
                  <w:tcW w:w="1025" w:type="dxa"/>
                  <w:noWrap w:val="0"/>
                  <w:vAlign w:val="center"/>
                </w:tcPr>
                <w:p w14:paraId="68BE54C5">
                  <w:pPr>
                    <w:adjustRightInd w:val="0"/>
                    <w:snapToGrid w:val="0"/>
                    <w:spacing w:before="100" w:beforeAutospacing="1"/>
                    <w:jc w:val="center"/>
                    <w:rPr>
                      <w:rFonts w:hint="default" w:ascii="Times New Roman" w:hAnsi="Times New Roman" w:cs="Times New Roman"/>
                      <w:color w:val="auto"/>
                    </w:rPr>
                  </w:pPr>
                  <w:r>
                    <w:rPr>
                      <w:rFonts w:hint="eastAsia" w:ascii="Times New Roman" w:hAnsi="Times New Roman" w:cs="Times New Roman"/>
                      <w:color w:val="auto"/>
                      <w:lang w:val="en-US" w:eastAsia="zh-CN"/>
                    </w:rPr>
                    <w:t>100%</w:t>
                  </w:r>
                </w:p>
              </w:tc>
              <w:tc>
                <w:tcPr>
                  <w:tcW w:w="1225" w:type="dxa"/>
                  <w:noWrap w:val="0"/>
                  <w:vAlign w:val="center"/>
                </w:tcPr>
                <w:p w14:paraId="41F29852">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无所谓</w:t>
                  </w:r>
                </w:p>
              </w:tc>
              <w:tc>
                <w:tcPr>
                  <w:tcW w:w="706" w:type="dxa"/>
                  <w:noWrap w:val="0"/>
                  <w:vAlign w:val="center"/>
                </w:tcPr>
                <w:p w14:paraId="2C77CF4E">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c>
                <w:tcPr>
                  <w:tcW w:w="1063" w:type="dxa"/>
                  <w:noWrap w:val="0"/>
                  <w:vAlign w:val="center"/>
                </w:tcPr>
                <w:p w14:paraId="7EBC8A17">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不同意</w:t>
                  </w:r>
                </w:p>
              </w:tc>
              <w:tc>
                <w:tcPr>
                  <w:tcW w:w="361" w:type="dxa"/>
                  <w:noWrap w:val="0"/>
                  <w:vAlign w:val="center"/>
                </w:tcPr>
                <w:p w14:paraId="09AB32BA">
                  <w:pPr>
                    <w:adjustRightInd w:val="0"/>
                    <w:snapToGrid w:val="0"/>
                    <w:spacing w:before="100" w:beforeAutospacing="1"/>
                    <w:jc w:val="center"/>
                    <w:rPr>
                      <w:rFonts w:hint="default" w:ascii="Times New Roman" w:hAnsi="Times New Roman" w:cs="Times New Roman"/>
                      <w:color w:val="auto"/>
                    </w:rPr>
                  </w:pPr>
                  <w:r>
                    <w:rPr>
                      <w:rFonts w:hint="default" w:ascii="Times New Roman" w:hAnsi="Times New Roman" w:cs="Times New Roman"/>
                      <w:color w:val="auto"/>
                    </w:rPr>
                    <w:t>0</w:t>
                  </w:r>
                </w:p>
              </w:tc>
            </w:tr>
            <w:tr w14:paraId="067E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5" w:type="dxa"/>
                  <w:noWrap w:val="0"/>
                  <w:vAlign w:val="center"/>
                </w:tcPr>
                <w:p w14:paraId="3EBF3B7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对该项目环保方面的意见和建议</w:t>
                  </w:r>
                </w:p>
              </w:tc>
              <w:tc>
                <w:tcPr>
                  <w:tcW w:w="5593" w:type="dxa"/>
                  <w:gridSpan w:val="6"/>
                  <w:noWrap w:val="0"/>
                  <w:vAlign w:val="center"/>
                </w:tcPr>
                <w:p w14:paraId="41CB0C46">
                  <w:pPr>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无人提出意见和建议</w:t>
                  </w:r>
                </w:p>
              </w:tc>
            </w:tr>
          </w:tbl>
          <w:p w14:paraId="22BBF70B">
            <w:pPr>
              <w:spacing w:line="360" w:lineRule="auto"/>
              <w:ind w:firstLine="480"/>
              <w:rPr>
                <w:rFonts w:hint="default"/>
                <w:color w:val="0000FF"/>
              </w:rPr>
            </w:pPr>
          </w:p>
        </w:tc>
      </w:tr>
    </w:tbl>
    <w:p w14:paraId="06CAF416">
      <w:pPr>
        <w:pStyle w:val="3"/>
        <w:numPr>
          <w:ilvl w:val="0"/>
          <w:numId w:val="0"/>
        </w:numPr>
        <w:spacing w:before="156" w:after="156"/>
        <w:rPr>
          <w:rFonts w:hint="default" w:ascii="Times New Roman" w:hAnsi="Times New Roman" w:cs="Times New Roman"/>
          <w:color w:val="0000FF"/>
          <w:sz w:val="30"/>
          <w:szCs w:val="30"/>
        </w:rPr>
      </w:pPr>
      <w:r>
        <w:rPr>
          <w:rFonts w:hint="default" w:ascii="Times New Roman" w:hAnsi="Times New Roman" w:cs="Times New Roman"/>
          <w:color w:val="0000FF"/>
          <w:sz w:val="30"/>
          <w:szCs w:val="30"/>
        </w:rPr>
        <w:br w:type="page"/>
      </w:r>
      <w:bookmarkStart w:id="50" w:name="_Toc4594"/>
      <w:bookmarkStart w:id="51" w:name="_Toc16458"/>
      <w:bookmarkStart w:id="52" w:name="_Toc7315_WPSOffice_Level1"/>
      <w:bookmarkStart w:id="53" w:name="_Toc28197_WPSOffice_Level1"/>
      <w:bookmarkStart w:id="54" w:name="_Toc23939"/>
      <w:r>
        <w:rPr>
          <w:rFonts w:hint="default" w:ascii="Times New Roman" w:hAnsi="Times New Roman" w:cs="Times New Roman"/>
          <w:color w:val="auto"/>
        </w:rPr>
        <w:t>表九  验收</w:t>
      </w:r>
      <w:r>
        <w:rPr>
          <w:rFonts w:hint="eastAsia" w:ascii="Times New Roman" w:hAnsi="Times New Roman" w:cs="Times New Roman"/>
          <w:color w:val="auto"/>
          <w:lang w:eastAsia="zh-CN"/>
        </w:rPr>
        <w:t>检测</w:t>
      </w:r>
      <w:r>
        <w:rPr>
          <w:rFonts w:hint="default" w:ascii="Times New Roman" w:hAnsi="Times New Roman" w:cs="Times New Roman"/>
          <w:color w:val="auto"/>
        </w:rPr>
        <w:t>结论</w:t>
      </w:r>
      <w:bookmarkEnd w:id="50"/>
      <w:bookmarkEnd w:id="51"/>
      <w:bookmarkEnd w:id="52"/>
      <w:bookmarkEnd w:id="53"/>
      <w:bookmarkEnd w:id="54"/>
      <w:r>
        <w:rPr>
          <w:rFonts w:hint="default" w:ascii="Times New Roman" w:hAnsi="Times New Roman" w:cs="Times New Roman"/>
          <w:color w:val="auto"/>
        </w:rPr>
        <w:t>、主要问题及建议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1"/>
      </w:tblGrid>
      <w:tr w14:paraId="4F80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4" w:hRule="atLeast"/>
          <w:jc w:val="center"/>
        </w:trPr>
        <w:tc>
          <w:tcPr>
            <w:tcW w:w="9711" w:type="dxa"/>
            <w:noWrap w:val="0"/>
            <w:vAlign w:val="top"/>
          </w:tcPr>
          <w:p w14:paraId="05DBA986">
            <w:pPr>
              <w:spacing w:line="360" w:lineRule="auto"/>
              <w:ind w:firstLine="48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本次验收在本项目相关环保设施均正常稳定运行的条件下，按照《</w:t>
            </w:r>
            <w:r>
              <w:rPr>
                <w:rFonts w:hint="eastAsia" w:cs="Times New Roman"/>
                <w:color w:val="auto"/>
                <w:sz w:val="24"/>
                <w:szCs w:val="24"/>
                <w:highlight w:val="none"/>
                <w:lang w:val="en-US" w:eastAsia="zh-CN"/>
              </w:rPr>
              <w:t>青川县餐厨垃圾无害化处理、资源化利用项目</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监测实施方案</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四川恒宇节能检测有限公司</w:t>
            </w:r>
            <w:r>
              <w:rPr>
                <w:rFonts w:hint="default" w:ascii="Times New Roman" w:hAnsi="Times New Roman" w:eastAsia="宋体" w:cs="Times New Roman"/>
                <w:color w:val="auto"/>
                <w:sz w:val="24"/>
                <w:szCs w:val="24"/>
                <w:highlight w:val="none"/>
              </w:rPr>
              <w:t>于20</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年</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月</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日对该项目进行了现场调查和废气</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eastAsia="zh-CN"/>
              </w:rPr>
              <w:t>废水、</w:t>
            </w:r>
            <w:r>
              <w:rPr>
                <w:rFonts w:hint="default" w:ascii="Times New Roman" w:hAnsi="Times New Roman" w:eastAsia="宋体" w:cs="Times New Roman"/>
                <w:color w:val="auto"/>
                <w:sz w:val="24"/>
                <w:szCs w:val="24"/>
                <w:highlight w:val="none"/>
              </w:rPr>
              <w:t>厂界噪声</w:t>
            </w:r>
            <w:r>
              <w:rPr>
                <w:rFonts w:hint="eastAsia" w:ascii="Times New Roman" w:hAnsi="Times New Roman" w:eastAsia="宋体" w:cs="Times New Roman"/>
                <w:color w:val="auto"/>
                <w:sz w:val="24"/>
                <w:szCs w:val="24"/>
                <w:highlight w:val="none"/>
                <w:lang w:eastAsia="zh-CN"/>
              </w:rPr>
              <w:t>的</w:t>
            </w:r>
            <w:r>
              <w:rPr>
                <w:rFonts w:hint="default" w:ascii="Times New Roman" w:hAnsi="Times New Roman" w:eastAsia="宋体" w:cs="Times New Roman"/>
                <w:color w:val="auto"/>
                <w:sz w:val="24"/>
                <w:szCs w:val="24"/>
                <w:highlight w:val="none"/>
              </w:rPr>
              <w:t>采样</w:t>
            </w:r>
            <w:r>
              <w:rPr>
                <w:rFonts w:hint="eastAsia" w:ascii="Times New Roman" w:hAnsi="Times New Roman" w:cs="Times New Roman"/>
                <w:color w:val="auto"/>
                <w:sz w:val="24"/>
                <w:szCs w:val="24"/>
                <w:highlight w:val="none"/>
                <w:lang w:eastAsia="zh-CN"/>
              </w:rPr>
              <w:t>检测</w:t>
            </w:r>
            <w:r>
              <w:rPr>
                <w:rFonts w:hint="default" w:ascii="Times New Roman" w:hAnsi="Times New Roman" w:cs="Times New Roman"/>
                <w:color w:val="auto"/>
                <w:sz w:val="24"/>
                <w:szCs w:val="24"/>
                <w:highlight w:val="none"/>
              </w:rPr>
              <w:t>，验收</w:t>
            </w:r>
            <w:r>
              <w:rPr>
                <w:rFonts w:hint="eastAsia" w:ascii="Times New Roman" w:hAnsi="Times New Roman" w:cs="Times New Roman"/>
                <w:color w:val="auto"/>
                <w:sz w:val="24"/>
                <w:szCs w:val="24"/>
                <w:highlight w:val="none"/>
                <w:lang w:eastAsia="zh-CN"/>
              </w:rPr>
              <w:t>检测</w:t>
            </w:r>
            <w:r>
              <w:rPr>
                <w:rFonts w:hint="default" w:ascii="Times New Roman" w:hAnsi="Times New Roman" w:cs="Times New Roman"/>
                <w:color w:val="auto"/>
                <w:sz w:val="24"/>
                <w:szCs w:val="24"/>
                <w:highlight w:val="none"/>
              </w:rPr>
              <w:t>和调查结论如下：</w:t>
            </w:r>
          </w:p>
          <w:p w14:paraId="7DC67063">
            <w:pPr>
              <w:spacing w:line="360" w:lineRule="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eastAsia" w:cs="Times New Roman"/>
                <w:b/>
                <w:bCs/>
                <w:color w:val="auto"/>
                <w:sz w:val="24"/>
                <w:szCs w:val="24"/>
                <w:highlight w:val="none"/>
                <w:lang w:val="en-US" w:eastAsia="zh-CN"/>
              </w:rPr>
              <w:t>、</w:t>
            </w:r>
            <w:r>
              <w:rPr>
                <w:rFonts w:hint="eastAsia" w:ascii="Times New Roman" w:hAnsi="Times New Roman"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废气</w:t>
            </w:r>
            <w:r>
              <w:rPr>
                <w:rFonts w:hint="eastAsia" w:ascii="Times New Roman" w:hAnsi="Times New Roman" w:cs="Times New Roman"/>
                <w:b/>
                <w:bCs/>
                <w:color w:val="auto"/>
                <w:sz w:val="24"/>
                <w:szCs w:val="24"/>
                <w:highlight w:val="none"/>
                <w:lang w:eastAsia="zh-CN"/>
              </w:rPr>
              <w:t>检测</w:t>
            </w:r>
            <w:r>
              <w:rPr>
                <w:rFonts w:hint="default" w:ascii="Times New Roman" w:hAnsi="Times New Roman" w:cs="Times New Roman"/>
                <w:b/>
                <w:bCs/>
                <w:color w:val="auto"/>
                <w:sz w:val="24"/>
                <w:szCs w:val="24"/>
                <w:highlight w:val="none"/>
              </w:rPr>
              <w:t>结论</w:t>
            </w:r>
          </w:p>
          <w:p w14:paraId="2DF51B7B">
            <w:pPr>
              <w:keepNext w:val="0"/>
              <w:keepLines w:val="0"/>
              <w:pageBreakBefore w:val="0"/>
              <w:widowControl w:val="0"/>
              <w:kinsoku/>
              <w:wordWrap/>
              <w:overflowPunct/>
              <w:topLinePunct w:val="0"/>
              <w:autoSpaceDE/>
              <w:autoSpaceDN/>
              <w:bidi w:val="0"/>
              <w:adjustRightInd/>
              <w:snapToGrid w:val="0"/>
              <w:spacing w:beforeLines="50" w:afterLines="50"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sz w:val="24"/>
                <w:szCs w:val="24"/>
                <w:highlight w:val="none"/>
                <w:lang w:val="en-US" w:eastAsia="zh-CN"/>
              </w:rPr>
              <w:t>无组织废气：</w:t>
            </w:r>
            <w:r>
              <w:rPr>
                <w:rFonts w:hint="default" w:ascii="Times New Roman" w:hAnsi="Times New Roman" w:eastAsia="宋体" w:cs="Times New Roman"/>
                <w:sz w:val="24"/>
                <w:szCs w:val="24"/>
              </w:rPr>
              <w:t>按照《</w:t>
            </w:r>
            <w:r>
              <w:rPr>
                <w:rFonts w:hint="default" w:ascii="Times New Roman" w:hAnsi="Times New Roman" w:eastAsia="宋体" w:cs="Times New Roman"/>
                <w:sz w:val="24"/>
                <w:szCs w:val="24"/>
                <w:lang w:val="en-US" w:eastAsia="zh-CN"/>
              </w:rPr>
              <w:t>恶臭污染物排放标准</w:t>
            </w:r>
            <w:r>
              <w:rPr>
                <w:rFonts w:hint="default" w:ascii="Times New Roman" w:hAnsi="Times New Roman" w:eastAsia="宋体" w:cs="Times New Roman"/>
                <w:sz w:val="24"/>
                <w:szCs w:val="24"/>
              </w:rPr>
              <w:t>》GB</w:t>
            </w:r>
            <w:r>
              <w:rPr>
                <w:rFonts w:hint="default" w:ascii="Times New Roman" w:hAnsi="Times New Roman" w:eastAsia="宋体" w:cs="Times New Roman"/>
                <w:sz w:val="24"/>
                <w:szCs w:val="24"/>
                <w:lang w:val="en-US" w:eastAsia="zh-CN"/>
              </w:rPr>
              <w:t xml:space="preserve"> 14554-93表1二级</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新扩改建</w:t>
            </w:r>
            <w:r>
              <w:rPr>
                <w:rFonts w:hint="eastAsia" w:cs="Times New Roman"/>
                <w:sz w:val="24"/>
                <w:szCs w:val="24"/>
                <w:lang w:val="en-US" w:eastAsia="zh-CN"/>
              </w:rPr>
              <w:t>”、</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大气污染物综合排放标准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GB 16297-1996 表2</w:t>
            </w:r>
            <w:r>
              <w:rPr>
                <w:rFonts w:hint="eastAsia" w:cs="Times New Roman"/>
                <w:sz w:val="24"/>
                <w:szCs w:val="24"/>
                <w:lang w:val="en-US" w:eastAsia="zh-CN"/>
              </w:rPr>
              <w:t>标准</w:t>
            </w:r>
            <w:r>
              <w:rPr>
                <w:rFonts w:hint="default" w:ascii="Times New Roman" w:hAnsi="Times New Roman" w:eastAsia="宋体" w:cs="Times New Roman"/>
                <w:sz w:val="24"/>
                <w:szCs w:val="24"/>
              </w:rPr>
              <w:t>进行评价</w:t>
            </w:r>
            <w:r>
              <w:rPr>
                <w:rFonts w:hint="default" w:ascii="Times New Roman" w:hAnsi="Times New Roman" w:eastAsia="宋体" w:cs="Times New Roman"/>
                <w:color w:val="auto"/>
                <w:sz w:val="24"/>
                <w:szCs w:val="24"/>
              </w:rPr>
              <w:t>，</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w:t>
            </w:r>
            <w:r>
              <w:rPr>
                <w:rFonts w:hint="default" w:ascii="Times New Roman" w:hAnsi="Times New Roman" w:eastAsia="宋体" w:cs="Times New Roman"/>
                <w:color w:val="auto"/>
                <w:sz w:val="24"/>
                <w:szCs w:val="24"/>
                <w:lang w:eastAsia="zh-CN"/>
              </w:rPr>
              <w:t>，1#、2#</w:t>
            </w:r>
            <w:r>
              <w:rPr>
                <w:rFonts w:hint="eastAsia" w:cs="Times New Roman"/>
                <w:sz w:val="24"/>
                <w:szCs w:val="24"/>
                <w:lang w:val="en-US" w:eastAsia="zh-CN"/>
              </w:rPr>
              <w:t>、</w:t>
            </w:r>
            <w:r>
              <w:rPr>
                <w:rFonts w:hint="default" w:ascii="Times New Roman" w:hAnsi="Times New Roman" w:eastAsia="宋体" w:cs="Times New Roman"/>
                <w:color w:val="auto"/>
                <w:sz w:val="24"/>
                <w:szCs w:val="24"/>
                <w:lang w:val="en-US" w:eastAsia="zh-CN"/>
              </w:rPr>
              <w:t>3#厂界下风向10m内硫化氢、氨、臭气浓度、颗粒物、非甲烷总烃指标</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-2日连续两天</w:t>
            </w:r>
            <w:r>
              <w:rPr>
                <w:rFonts w:hint="default" w:ascii="Times New Roman" w:hAnsi="Times New Roman" w:eastAsia="宋体" w:cs="Times New Roman"/>
                <w:color w:val="auto"/>
                <w:sz w:val="24"/>
                <w:szCs w:val="24"/>
                <w:lang w:eastAsia="zh-CN"/>
              </w:rPr>
              <w:t>监测数据表明</w:t>
            </w:r>
            <w:r>
              <w:rPr>
                <w:rFonts w:hint="default" w:ascii="Times New Roman" w:hAnsi="Times New Roman" w:eastAsia="宋体" w:cs="Times New Roman"/>
                <w:color w:val="auto"/>
                <w:sz w:val="24"/>
                <w:szCs w:val="24"/>
              </w:rPr>
              <w:t>均</w:t>
            </w:r>
            <w:r>
              <w:rPr>
                <w:rFonts w:hint="default" w:ascii="Times New Roman" w:hAnsi="Times New Roman" w:eastAsia="宋体" w:cs="Times New Roman"/>
                <w:b/>
                <w:color w:val="auto"/>
                <w:sz w:val="24"/>
                <w:szCs w:val="24"/>
              </w:rPr>
              <w:t>达标</w:t>
            </w:r>
            <w:r>
              <w:rPr>
                <w:rFonts w:hint="eastAsia" w:ascii="Times New Roman" w:hAnsi="Times New Roman" w:eastAsia="宋体" w:cs="Times New Roman"/>
                <w:color w:val="auto"/>
                <w:sz w:val="22"/>
                <w:szCs w:val="22"/>
                <w:highlight w:val="none"/>
                <w:lang w:val="en-US" w:eastAsia="zh-CN"/>
              </w:rPr>
              <w:t xml:space="preserve"> 。</w:t>
            </w:r>
          </w:p>
          <w:p w14:paraId="5B89FA96">
            <w:pPr>
              <w:keepNext w:val="0"/>
              <w:keepLines w:val="0"/>
              <w:pageBreakBefore w:val="0"/>
              <w:widowControl w:val="0"/>
              <w:kinsoku/>
              <w:wordWrap/>
              <w:overflowPunct/>
              <w:topLinePunct w:val="0"/>
              <w:autoSpaceDE/>
              <w:autoSpaceDN/>
              <w:bidi w:val="0"/>
              <w:adjustRightInd/>
              <w:snapToGrid w:val="0"/>
              <w:spacing w:beforeLines="50" w:afterLines="50"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8"/>
                <w:szCs w:val="28"/>
                <w:lang w:val="en-US" w:eastAsia="zh-CN"/>
              </w:rPr>
            </w:pPr>
            <w:r>
              <w:rPr>
                <w:rFonts w:hint="default" w:ascii="Times New Roman" w:hAnsi="Times New Roman" w:eastAsia="宋体" w:cs="Times New Roman"/>
                <w:b w:val="0"/>
                <w:bCs w:val="0"/>
                <w:color w:val="auto"/>
                <w:sz w:val="24"/>
                <w:szCs w:val="24"/>
                <w:lang w:val="en-US" w:eastAsia="zh-CN"/>
              </w:rPr>
              <w:t>有组织废气：</w:t>
            </w:r>
            <w:r>
              <w:rPr>
                <w:rFonts w:hint="eastAsia" w:eastAsia="宋体" w:cs="Times New Roman"/>
                <w:b w:val="0"/>
                <w:bCs w:val="0"/>
                <w:color w:val="auto"/>
                <w:sz w:val="24"/>
                <w:szCs w:val="24"/>
                <w:lang w:val="en-US" w:eastAsia="zh-CN"/>
              </w:rPr>
              <w:t>按照</w:t>
            </w:r>
            <w:r>
              <w:rPr>
                <w:rFonts w:hint="default" w:ascii="Times New Roman" w:hAnsi="Times New Roman" w:eastAsia="宋体" w:cs="Times New Roman"/>
                <w:b w:val="0"/>
                <w:bCs w:val="0"/>
                <w:color w:val="auto"/>
                <w:sz w:val="24"/>
                <w:szCs w:val="24"/>
                <w:lang w:val="en-US" w:eastAsia="zh-CN"/>
              </w:rPr>
              <w:t>《恶臭污染物排放标准》GB 14554-93表2</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《四川省固定污染源大气挥发性有机物排放标准》DB 51/2377- 2017 表3“涉及有机溶剂生产和使用的其它行业”</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 xml:space="preserve">《锅炉大气污染物排放标准》GB 13271-2014表2 </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燃油锅炉</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color w:val="auto"/>
                <w:sz w:val="24"/>
                <w:szCs w:val="24"/>
                <w:vertAlign w:val="baseline"/>
                <w:lang w:val="en-US" w:eastAsia="zh-CN"/>
              </w:rPr>
              <w:t>标准</w:t>
            </w:r>
            <w:r>
              <w:rPr>
                <w:rFonts w:hint="default" w:ascii="Times New Roman" w:hAnsi="Times New Roman" w:eastAsia="宋体" w:cs="Times New Roman"/>
                <w:sz w:val="24"/>
                <w:szCs w:val="24"/>
              </w:rPr>
              <w:t>进行评价</w:t>
            </w:r>
            <w:r>
              <w:rPr>
                <w:rFonts w:hint="default" w:ascii="Times New Roman" w:hAnsi="Times New Roman" w:eastAsia="宋体" w:cs="Times New Roman"/>
                <w:sz w:val="24"/>
                <w:szCs w:val="24"/>
                <w:lang w:eastAsia="zh-CN"/>
              </w:rPr>
              <w:t>，</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验收检测，1#除臭废气排气筒出口硫化氢、氨、臭气浓度、VOCs和2#燃油锅炉排气筒出口颗粒物、氮氧化物、二氧化硫、烟气黑度指标</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-2日连续两天</w:t>
            </w:r>
            <w:r>
              <w:rPr>
                <w:rFonts w:hint="default" w:ascii="Times New Roman" w:hAnsi="Times New Roman" w:eastAsia="宋体" w:cs="Times New Roman"/>
                <w:color w:val="auto"/>
                <w:sz w:val="24"/>
                <w:szCs w:val="24"/>
                <w:lang w:eastAsia="zh-CN"/>
              </w:rPr>
              <w:t>监测数据表明</w:t>
            </w:r>
            <w:r>
              <w:rPr>
                <w:rFonts w:hint="default" w:ascii="Times New Roman" w:hAnsi="Times New Roman" w:eastAsia="宋体" w:cs="Times New Roman"/>
                <w:color w:val="auto"/>
                <w:sz w:val="24"/>
                <w:szCs w:val="24"/>
              </w:rPr>
              <w:t>均</w:t>
            </w:r>
            <w:r>
              <w:rPr>
                <w:rFonts w:hint="default" w:ascii="Times New Roman" w:hAnsi="Times New Roman" w:eastAsia="宋体" w:cs="Times New Roman"/>
                <w:b/>
                <w:color w:val="auto"/>
                <w:sz w:val="24"/>
                <w:szCs w:val="24"/>
              </w:rPr>
              <w:t>达标</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8"/>
                <w:szCs w:val="28"/>
                <w:lang w:val="en-US" w:eastAsia="zh-CN"/>
              </w:rPr>
              <w:t xml:space="preserve"> </w:t>
            </w:r>
          </w:p>
          <w:p w14:paraId="6C10B188">
            <w:pPr>
              <w:spacing w:line="360" w:lineRule="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2</w:t>
            </w:r>
            <w:r>
              <w:rPr>
                <w:rFonts w:hint="eastAsia" w:cs="Times New Roman"/>
                <w:b/>
                <w:bCs/>
                <w:color w:val="auto"/>
                <w:sz w:val="24"/>
                <w:szCs w:val="24"/>
                <w:highlight w:val="none"/>
                <w:lang w:val="en-US" w:eastAsia="zh-CN"/>
              </w:rPr>
              <w:t>、</w:t>
            </w:r>
            <w:r>
              <w:rPr>
                <w:rFonts w:hint="default" w:ascii="Times New Roman" w:hAnsi="Times New Roman" w:cs="Times New Roman"/>
                <w:b/>
                <w:bCs/>
                <w:color w:val="auto"/>
                <w:sz w:val="24"/>
                <w:szCs w:val="24"/>
                <w:highlight w:val="none"/>
              </w:rPr>
              <w:t>噪声</w:t>
            </w:r>
            <w:r>
              <w:rPr>
                <w:rFonts w:hint="eastAsia" w:ascii="Times New Roman" w:hAnsi="Times New Roman" w:cs="Times New Roman"/>
                <w:b/>
                <w:bCs/>
                <w:color w:val="auto"/>
                <w:sz w:val="24"/>
                <w:szCs w:val="24"/>
                <w:highlight w:val="none"/>
                <w:lang w:eastAsia="zh-CN"/>
              </w:rPr>
              <w:t>检测</w:t>
            </w:r>
            <w:r>
              <w:rPr>
                <w:rFonts w:hint="default" w:ascii="Times New Roman" w:hAnsi="Times New Roman" w:cs="Times New Roman"/>
                <w:b/>
                <w:bCs/>
                <w:color w:val="auto"/>
                <w:sz w:val="24"/>
                <w:szCs w:val="24"/>
                <w:highlight w:val="none"/>
              </w:rPr>
              <w:t>结论</w:t>
            </w:r>
          </w:p>
          <w:p w14:paraId="2EDF38AC">
            <w:pPr>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按照《工业企业厂界环境噪声排放标准》GB 12348-2008表1 中</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类标准进行评价，</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w:t>
            </w:r>
            <w:r>
              <w:rPr>
                <w:rFonts w:hint="default" w:ascii="Times New Roman" w:hAnsi="Times New Roman" w:eastAsia="宋体" w:cs="Times New Roman"/>
                <w:color w:val="auto"/>
                <w:sz w:val="24"/>
                <w:szCs w:val="24"/>
                <w:lang w:val="en-US" w:eastAsia="zh-CN"/>
              </w:rPr>
              <w:t>，4个厂界噪声点在</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-2日连续两天监测数据表明昼</w:t>
            </w:r>
            <w:r>
              <w:rPr>
                <w:rFonts w:hint="eastAsia" w:cs="Times New Roman"/>
                <w:color w:val="auto"/>
                <w:sz w:val="24"/>
                <w:szCs w:val="24"/>
                <w:lang w:val="en-US" w:eastAsia="zh-CN"/>
              </w:rPr>
              <w:t>间</w:t>
            </w:r>
            <w:r>
              <w:rPr>
                <w:rFonts w:hint="default" w:ascii="Times New Roman" w:hAnsi="Times New Roman" w:eastAsia="宋体" w:cs="Times New Roman"/>
                <w:color w:val="auto"/>
                <w:sz w:val="24"/>
                <w:szCs w:val="24"/>
                <w:lang w:val="en-US" w:eastAsia="zh-CN"/>
              </w:rPr>
              <w:t>等效A声级均</w:t>
            </w:r>
            <w:r>
              <w:rPr>
                <w:rFonts w:hint="default" w:ascii="Times New Roman" w:hAnsi="Times New Roman" w:eastAsia="宋体" w:cs="Times New Roman"/>
                <w:b/>
                <w:bCs/>
                <w:color w:val="auto"/>
                <w:sz w:val="24"/>
                <w:szCs w:val="24"/>
                <w:lang w:val="en-US" w:eastAsia="zh-CN"/>
              </w:rPr>
              <w:t>达标</w:t>
            </w:r>
            <w:r>
              <w:rPr>
                <w:rFonts w:hint="default" w:ascii="Times New Roman" w:hAnsi="Times New Roman" w:eastAsia="宋体" w:cs="Times New Roman"/>
                <w:color w:val="auto"/>
                <w:sz w:val="24"/>
                <w:szCs w:val="24"/>
                <w:lang w:val="en-US" w:eastAsia="zh-CN"/>
              </w:rPr>
              <w:t>。</w:t>
            </w:r>
          </w:p>
          <w:p w14:paraId="309DE83F">
            <w:pPr>
              <w:spacing w:line="360" w:lineRule="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3</w:t>
            </w:r>
            <w:r>
              <w:rPr>
                <w:rFonts w:hint="eastAsia" w:cs="Times New Roman"/>
                <w:b/>
                <w:bCs/>
                <w:color w:val="auto"/>
                <w:sz w:val="24"/>
                <w:szCs w:val="24"/>
                <w:highlight w:val="none"/>
                <w:lang w:val="en-US" w:eastAsia="zh-CN"/>
              </w:rPr>
              <w:t>、</w:t>
            </w:r>
            <w:r>
              <w:rPr>
                <w:rFonts w:hint="default" w:ascii="Times New Roman" w:hAnsi="Times New Roman" w:cs="Times New Roman"/>
                <w:b/>
                <w:bCs/>
                <w:color w:val="auto"/>
                <w:sz w:val="24"/>
                <w:szCs w:val="24"/>
                <w:highlight w:val="none"/>
              </w:rPr>
              <w:t>废水</w:t>
            </w:r>
            <w:r>
              <w:rPr>
                <w:rFonts w:hint="eastAsia" w:ascii="Times New Roman" w:hAnsi="Times New Roman" w:cs="Times New Roman"/>
                <w:b/>
                <w:bCs/>
                <w:color w:val="auto"/>
                <w:sz w:val="24"/>
                <w:szCs w:val="24"/>
                <w:highlight w:val="none"/>
                <w:lang w:eastAsia="zh-CN"/>
              </w:rPr>
              <w:t>检测</w:t>
            </w:r>
            <w:r>
              <w:rPr>
                <w:rFonts w:hint="default" w:ascii="Times New Roman" w:hAnsi="Times New Roman" w:cs="Times New Roman"/>
                <w:b/>
                <w:bCs/>
                <w:color w:val="auto"/>
                <w:sz w:val="24"/>
                <w:szCs w:val="24"/>
                <w:highlight w:val="none"/>
              </w:rPr>
              <w:t>结论</w:t>
            </w:r>
          </w:p>
          <w:p w14:paraId="14FB2826">
            <w:pPr>
              <w:spacing w:line="360" w:lineRule="auto"/>
              <w:ind w:firstLine="480" w:firstLineChars="200"/>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按照</w:t>
            </w:r>
            <w:r>
              <w:rPr>
                <w:rFonts w:hint="eastAsia" w:cs="Times New Roman"/>
                <w:color w:val="auto"/>
                <w:kern w:val="2"/>
                <w:sz w:val="24"/>
                <w:szCs w:val="24"/>
                <w:lang w:val="en-US" w:eastAsia="zh-CN" w:bidi="ar-SA"/>
              </w:rPr>
              <w:t>渗滤液处理厂接纳</w:t>
            </w:r>
            <w:r>
              <w:rPr>
                <w:rFonts w:hint="default" w:ascii="Times New Roman" w:hAnsi="Times New Roman" w:eastAsia="宋体" w:cs="Times New Roman"/>
                <w:color w:val="auto"/>
                <w:kern w:val="2"/>
                <w:sz w:val="24"/>
                <w:szCs w:val="24"/>
                <w:lang w:val="en-US" w:eastAsia="zh-CN" w:bidi="ar-SA"/>
              </w:rPr>
              <w:t>标准进行评价</w:t>
            </w:r>
            <w:r>
              <w:rPr>
                <w:rFonts w:hint="default" w:ascii="Times New Roman" w:hAnsi="Times New Roman" w:eastAsia="宋体" w:cs="Times New Roman"/>
                <w:kern w:val="2"/>
                <w:sz w:val="24"/>
                <w:szCs w:val="24"/>
                <w:lang w:val="en-US" w:eastAsia="zh-CN" w:bidi="ar-SA"/>
              </w:rPr>
              <w:t>，</w:t>
            </w:r>
            <w:r>
              <w:rPr>
                <w:rFonts w:hint="eastAsia" w:cs="Times New Roman"/>
                <w:sz w:val="24"/>
                <w:szCs w:val="24"/>
                <w:lang w:eastAsia="zh-CN"/>
              </w:rPr>
              <w:t>青川县餐厨垃圾无害化处理、资源化利用项目</w:t>
            </w:r>
            <w:r>
              <w:rPr>
                <w:rFonts w:hint="eastAsia" w:cs="Times New Roman"/>
                <w:sz w:val="24"/>
                <w:szCs w:val="24"/>
                <w:lang w:val="en-US" w:eastAsia="zh-CN"/>
              </w:rPr>
              <w:t>验收检测</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1#</w:t>
            </w:r>
            <w:r>
              <w:rPr>
                <w:rFonts w:hint="default" w:ascii="Times New Roman" w:hAnsi="Times New Roman" w:eastAsia="宋体" w:cs="Times New Roman"/>
                <w:kern w:val="2"/>
                <w:sz w:val="24"/>
                <w:szCs w:val="24"/>
                <w:lang w:val="en-US" w:eastAsia="zh-CN" w:bidi="ar-SA"/>
              </w:rPr>
              <w:t>处理设施废水总排口pH、化学需氧量、五日生化需氧量、氨氮、</w:t>
            </w:r>
            <w:r>
              <w:rPr>
                <w:rFonts w:hint="eastAsia" w:cs="Times New Roman"/>
                <w:kern w:val="2"/>
                <w:sz w:val="24"/>
                <w:szCs w:val="24"/>
                <w:lang w:val="en-US" w:eastAsia="zh-CN" w:bidi="ar-SA"/>
              </w:rPr>
              <w:t>总氮</w:t>
            </w:r>
            <w:r>
              <w:rPr>
                <w:rFonts w:hint="default" w:ascii="Times New Roman" w:hAnsi="Times New Roman" w:eastAsia="宋体" w:cs="Times New Roman"/>
                <w:kern w:val="2"/>
                <w:sz w:val="24"/>
                <w:szCs w:val="24"/>
                <w:lang w:val="en-US" w:eastAsia="zh-CN" w:bidi="ar-SA"/>
              </w:rPr>
              <w:t>指标</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-2日</w:t>
            </w:r>
            <w:r>
              <w:rPr>
                <w:rFonts w:hint="default" w:ascii="Times New Roman" w:hAnsi="Times New Roman" w:eastAsia="宋体" w:cs="Times New Roman"/>
                <w:kern w:val="2"/>
                <w:sz w:val="24"/>
                <w:szCs w:val="24"/>
                <w:lang w:val="en-US" w:eastAsia="zh-CN" w:bidi="ar-SA"/>
              </w:rPr>
              <w:t>连续两天检测数据表明均</w:t>
            </w:r>
            <w:r>
              <w:rPr>
                <w:rFonts w:hint="default" w:ascii="Times New Roman" w:hAnsi="Times New Roman" w:eastAsia="宋体" w:cs="Times New Roman"/>
                <w:b/>
                <w:bCs/>
                <w:kern w:val="2"/>
                <w:sz w:val="24"/>
                <w:szCs w:val="24"/>
                <w:lang w:val="en-US" w:eastAsia="zh-CN" w:bidi="ar-SA"/>
              </w:rPr>
              <w:t>达标</w:t>
            </w:r>
            <w:r>
              <w:rPr>
                <w:rFonts w:hint="default" w:ascii="Times New Roman" w:hAnsi="Times New Roman" w:eastAsia="宋体" w:cs="Times New Roman"/>
                <w:b w:val="0"/>
                <w:bCs w:val="0"/>
                <w:kern w:val="2"/>
                <w:sz w:val="24"/>
                <w:szCs w:val="24"/>
                <w:lang w:val="en-US" w:eastAsia="zh-CN" w:bidi="ar-SA"/>
              </w:rPr>
              <w:t>。</w:t>
            </w:r>
          </w:p>
          <w:p w14:paraId="45E5BAFA">
            <w:pPr>
              <w:spacing w:line="360" w:lineRule="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4</w:t>
            </w:r>
            <w:r>
              <w:rPr>
                <w:rFonts w:hint="eastAsia" w:cs="Times New Roman"/>
                <w:b/>
                <w:bCs/>
                <w:color w:val="auto"/>
                <w:sz w:val="24"/>
                <w:szCs w:val="24"/>
                <w:lang w:val="en-US" w:eastAsia="zh-CN"/>
              </w:rPr>
              <w:t>、</w:t>
            </w:r>
            <w:r>
              <w:rPr>
                <w:rFonts w:hint="default" w:ascii="Times New Roman" w:hAnsi="Times New Roman" w:cs="Times New Roman"/>
                <w:b/>
                <w:bCs/>
                <w:color w:val="auto"/>
                <w:sz w:val="24"/>
                <w:szCs w:val="24"/>
              </w:rPr>
              <w:t>固体废弃物检查结论</w:t>
            </w:r>
          </w:p>
          <w:p w14:paraId="481D89EF">
            <w:pPr>
              <w:pStyle w:val="20"/>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szCs w:val="21"/>
              </w:rPr>
              <w:t>废石和废渣等杂质、沼渣、污水处理站污泥经厂内分类收集后交由青川县垃圾填埋场处置统一清运并妥善处置；生活垃圾经分类收集后交由当地环卫人员清运并进行妥善处置；废脱硫剂经袋装收集后由厂家定期更换回收处理。</w:t>
            </w:r>
            <w:r>
              <w:rPr>
                <w:rFonts w:hint="eastAsia" w:ascii="Times New Roman" w:hAnsi="Times New Roman" w:eastAsia="宋体" w:cs="Times New Roman"/>
                <w:color w:val="auto"/>
                <w:sz w:val="24"/>
                <w:szCs w:val="24"/>
                <w:lang w:val="en-US" w:eastAsia="zh-CN"/>
              </w:rPr>
              <w:t>项目设备的维护保养由</w:t>
            </w:r>
            <w:r>
              <w:rPr>
                <w:rFonts w:hint="eastAsia" w:cs="Times New Roman"/>
                <w:lang w:eastAsia="zh-CN"/>
              </w:rPr>
              <w:t>青川县金扳手汽车维修有限公司</w:t>
            </w:r>
            <w:r>
              <w:rPr>
                <w:rFonts w:hint="eastAsia" w:ascii="Times New Roman" w:hAnsi="Times New Roman" w:eastAsia="宋体" w:cs="Times New Roman"/>
                <w:color w:val="auto"/>
                <w:sz w:val="24"/>
                <w:szCs w:val="24"/>
                <w:lang w:val="en-US" w:eastAsia="zh-CN"/>
              </w:rPr>
              <w:t>完成，机修过程中产生的少量废含油棉纱及手套由</w:t>
            </w:r>
            <w:r>
              <w:rPr>
                <w:rFonts w:hint="eastAsia" w:cs="Times New Roman"/>
                <w:lang w:eastAsia="zh-CN"/>
              </w:rPr>
              <w:t>青川县金扳手汽车维修有限公司</w:t>
            </w:r>
            <w:r>
              <w:rPr>
                <w:rFonts w:hint="eastAsia" w:ascii="Times New Roman" w:hAnsi="Times New Roman" w:eastAsia="宋体" w:cs="Times New Roman"/>
                <w:color w:val="auto"/>
                <w:sz w:val="24"/>
                <w:szCs w:val="24"/>
                <w:lang w:val="en-US" w:eastAsia="zh-CN"/>
              </w:rPr>
              <w:t>带走，现场不设危废暂存间。</w:t>
            </w:r>
          </w:p>
          <w:p w14:paraId="00C71E9E">
            <w:pPr>
              <w:spacing w:line="360" w:lineRule="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5</w:t>
            </w:r>
            <w:r>
              <w:rPr>
                <w:rFonts w:hint="eastAsia" w:cs="Times New Roman"/>
                <w:b/>
                <w:bCs/>
                <w:color w:val="auto"/>
                <w:sz w:val="24"/>
                <w:szCs w:val="24"/>
                <w:lang w:val="en-US" w:eastAsia="zh-CN"/>
              </w:rPr>
              <w:t>、</w:t>
            </w:r>
            <w:r>
              <w:rPr>
                <w:rFonts w:hint="default" w:ascii="Times New Roman" w:hAnsi="Times New Roman" w:cs="Times New Roman"/>
                <w:b/>
                <w:bCs/>
                <w:color w:val="auto"/>
                <w:sz w:val="24"/>
                <w:szCs w:val="24"/>
              </w:rPr>
              <w:t>公众意见调查结果</w:t>
            </w:r>
          </w:p>
          <w:p w14:paraId="203B2933">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验收期间对项目周围居民进行调查，发放公众意见调查表1</w:t>
            </w:r>
            <w:r>
              <w:rPr>
                <w:rFonts w:hint="eastAsia" w:cs="Times New Roman"/>
                <w:color w:val="auto"/>
                <w:sz w:val="24"/>
                <w:szCs w:val="24"/>
                <w:lang w:val="en-US" w:eastAsia="zh-CN"/>
              </w:rPr>
              <w:t>0</w:t>
            </w:r>
            <w:r>
              <w:rPr>
                <w:rFonts w:hint="default" w:ascii="Times New Roman" w:hAnsi="Times New Roman" w:cs="Times New Roman"/>
                <w:color w:val="auto"/>
                <w:sz w:val="24"/>
                <w:szCs w:val="24"/>
              </w:rPr>
              <w:t>份，收回公众意见调查表1</w:t>
            </w:r>
            <w:r>
              <w:rPr>
                <w:rFonts w:hint="eastAsia" w:cs="Times New Roman"/>
                <w:color w:val="auto"/>
                <w:sz w:val="24"/>
                <w:szCs w:val="24"/>
                <w:lang w:val="en-US" w:eastAsia="zh-CN"/>
              </w:rPr>
              <w:t>0</w:t>
            </w:r>
            <w:r>
              <w:rPr>
                <w:rFonts w:hint="default" w:ascii="Times New Roman" w:hAnsi="Times New Roman" w:cs="Times New Roman"/>
                <w:color w:val="auto"/>
                <w:sz w:val="24"/>
                <w:szCs w:val="24"/>
              </w:rPr>
              <w:t>份。经统计，收回的调查表中</w:t>
            </w:r>
            <w:r>
              <w:rPr>
                <w:rFonts w:hint="eastAsia" w:ascii="Times New Roman" w:hAnsi="Times New Roman" w:cs="Times New Roman"/>
                <w:color w:val="auto"/>
                <w:sz w:val="24"/>
                <w:szCs w:val="24"/>
                <w:lang w:val="en-US" w:eastAsia="zh-CN"/>
              </w:rPr>
              <w:t xml:space="preserve">100 </w:t>
            </w:r>
            <w:r>
              <w:rPr>
                <w:rFonts w:hint="default" w:ascii="Times New Roman" w:hAnsi="Times New Roman" w:cs="Times New Roman"/>
                <w:color w:val="auto"/>
                <w:sz w:val="24"/>
                <w:szCs w:val="24"/>
              </w:rPr>
              <w:t>%的被调查公众同意该项目的竣工环保验收。</w:t>
            </w:r>
          </w:p>
          <w:p w14:paraId="417F568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6、综合结论</w:t>
            </w:r>
          </w:p>
          <w:p w14:paraId="76C7AE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rPr>
              <w:t>综上所述，</w:t>
            </w:r>
            <w:r>
              <w:rPr>
                <w:rFonts w:hint="default" w:ascii="Times New Roman" w:hAnsi="Times New Roman" w:cs="Times New Roman"/>
                <w:color w:val="auto"/>
                <w:sz w:val="24"/>
                <w:szCs w:val="24"/>
                <w:highlight w:val="none"/>
              </w:rPr>
              <w:t>本项目执行了国家有关环境保护的法律法规，环境保护审批手续齐全，履行了环境影响评价制度，项目配套的环保设施按</w:t>
            </w:r>
            <w:r>
              <w:rPr>
                <w:rFonts w:hint="eastAsia" w:ascii="宋体" w:hAnsi="宋体" w:eastAsia="宋体" w:cs="宋体"/>
                <w:color w:val="auto"/>
                <w:sz w:val="24"/>
                <w:szCs w:val="24"/>
                <w:highlight w:val="none"/>
              </w:rPr>
              <w:t>“三同时”</w:t>
            </w:r>
            <w:r>
              <w:rPr>
                <w:rFonts w:hint="default" w:ascii="Times New Roman" w:hAnsi="Times New Roman" w:cs="Times New Roman"/>
                <w:color w:val="auto"/>
                <w:sz w:val="24"/>
                <w:szCs w:val="24"/>
                <w:highlight w:val="none"/>
              </w:rPr>
              <w:t>要求设计、施工和投入使用，运行基本正常。本项目建立了环境管理体系，环境保护管理制度较为完善，基本</w:t>
            </w:r>
            <w:r>
              <w:rPr>
                <w:rFonts w:hint="eastAsia" w:ascii="Times New Roman" w:hAnsi="Times New Roman" w:cs="Times New Roman"/>
                <w:color w:val="auto"/>
                <w:sz w:val="24"/>
                <w:szCs w:val="24"/>
                <w:highlight w:val="none"/>
                <w:lang w:val="en-US" w:eastAsia="zh-CN"/>
              </w:rPr>
              <w:t>落实了</w:t>
            </w:r>
            <w:r>
              <w:rPr>
                <w:rFonts w:hint="default" w:ascii="Times New Roman" w:hAnsi="Times New Roman" w:cs="Times New Roman"/>
                <w:color w:val="auto"/>
                <w:sz w:val="24"/>
                <w:szCs w:val="24"/>
                <w:highlight w:val="none"/>
              </w:rPr>
              <w:t>环评报告表及批复中提出的环保要求和措施，污染物达标排放，建议通过竣工环境保护验收。</w:t>
            </w:r>
          </w:p>
          <w:p w14:paraId="292FF82B">
            <w:pPr>
              <w:spacing w:line="360" w:lineRule="auto"/>
              <w:rPr>
                <w:rFonts w:hint="default" w:ascii="Times New Roman" w:hAnsi="Times New Roman" w:cs="Times New Roman"/>
                <w:b/>
                <w:bCs/>
                <w:color w:val="0000FF"/>
                <w:sz w:val="24"/>
                <w:szCs w:val="24"/>
              </w:rPr>
            </w:pPr>
          </w:p>
          <w:p w14:paraId="2F646E2A">
            <w:pPr>
              <w:spacing w:line="360" w:lineRule="auto"/>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建议与要求:</w:t>
            </w:r>
          </w:p>
          <w:p w14:paraId="7BBB6425">
            <w:pPr>
              <w:spacing w:line="360" w:lineRule="auto"/>
              <w:ind w:firstLine="480" w:firstLineChars="200"/>
              <w:rPr>
                <w:rFonts w:hint="eastAsia" w:hAnsi="宋体"/>
                <w:color w:val="auto"/>
                <w:sz w:val="24"/>
                <w:szCs w:val="24"/>
              </w:rPr>
            </w:pPr>
            <w:r>
              <w:rPr>
                <w:rFonts w:hint="eastAsia"/>
                <w:color w:val="auto"/>
                <w:sz w:val="24"/>
                <w:szCs w:val="24"/>
                <w:lang w:val="en-US" w:eastAsia="zh-CN"/>
              </w:rPr>
              <w:t>1</w:t>
            </w:r>
            <w:r>
              <w:rPr>
                <w:rFonts w:hint="eastAsia" w:hAnsi="宋体"/>
                <w:color w:val="auto"/>
                <w:sz w:val="24"/>
                <w:szCs w:val="24"/>
              </w:rPr>
              <w:t>、</w:t>
            </w:r>
            <w:r>
              <w:rPr>
                <w:rFonts w:hAnsi="宋体"/>
                <w:color w:val="auto"/>
                <w:sz w:val="24"/>
                <w:szCs w:val="24"/>
              </w:rPr>
              <w:t>加强</w:t>
            </w:r>
            <w:r>
              <w:rPr>
                <w:rFonts w:hint="eastAsia" w:hAnsi="宋体"/>
                <w:color w:val="auto"/>
                <w:sz w:val="24"/>
                <w:szCs w:val="24"/>
              </w:rPr>
              <w:t>环保</w:t>
            </w:r>
            <w:r>
              <w:rPr>
                <w:rFonts w:hAnsi="宋体"/>
                <w:color w:val="auto"/>
                <w:sz w:val="24"/>
                <w:szCs w:val="24"/>
              </w:rPr>
              <w:t>处理设施的运行管理，</w:t>
            </w:r>
            <w:r>
              <w:rPr>
                <w:rFonts w:hint="eastAsia" w:ascii="宋体" w:hAnsi="宋体"/>
                <w:color w:val="auto"/>
                <w:sz w:val="24"/>
                <w:szCs w:val="24"/>
              </w:rPr>
              <w:t>保证环保设施正常运行，确保污染物长期稳定达标排放</w:t>
            </w:r>
            <w:r>
              <w:rPr>
                <w:rFonts w:hint="eastAsia" w:hAnsi="宋体"/>
                <w:color w:val="auto"/>
                <w:sz w:val="24"/>
                <w:szCs w:val="24"/>
              </w:rPr>
              <w:t>，</w:t>
            </w:r>
            <w:r>
              <w:rPr>
                <w:rFonts w:hAnsi="宋体"/>
                <w:color w:val="auto"/>
                <w:sz w:val="24"/>
                <w:szCs w:val="24"/>
              </w:rPr>
              <w:t>杜绝事故排放</w:t>
            </w:r>
            <w:r>
              <w:rPr>
                <w:rFonts w:hint="eastAsia" w:hAnsi="宋体"/>
                <w:color w:val="auto"/>
                <w:sz w:val="24"/>
                <w:szCs w:val="24"/>
              </w:rPr>
              <w:t>。</w:t>
            </w:r>
          </w:p>
          <w:p w14:paraId="13E2ECD5">
            <w:pPr>
              <w:spacing w:line="360" w:lineRule="auto"/>
              <w:ind w:firstLine="480" w:firstLineChars="200"/>
              <w:rPr>
                <w:rFonts w:hint="eastAsia" w:eastAsia="宋体"/>
                <w:lang w:val="en-US" w:eastAsia="zh-CN"/>
              </w:rPr>
            </w:pPr>
            <w:r>
              <w:rPr>
                <w:rFonts w:hint="eastAsia" w:hAnsi="宋体"/>
                <w:color w:val="auto"/>
                <w:sz w:val="24"/>
                <w:szCs w:val="24"/>
                <w:lang w:val="en-US" w:eastAsia="zh-CN"/>
              </w:rPr>
              <w:t>2</w:t>
            </w:r>
            <w:r>
              <w:rPr>
                <w:rFonts w:hint="eastAsia" w:hAnsi="宋体"/>
                <w:color w:val="auto"/>
                <w:sz w:val="24"/>
                <w:szCs w:val="24"/>
              </w:rPr>
              <w:t>、</w:t>
            </w:r>
            <w:r>
              <w:rPr>
                <w:rFonts w:hint="eastAsia" w:ascii="宋体" w:hAnsi="宋体"/>
                <w:color w:val="auto"/>
                <w:sz w:val="24"/>
                <w:szCs w:val="24"/>
              </w:rPr>
              <w:t>认真落实环境风险防范措施，</w:t>
            </w:r>
            <w:r>
              <w:rPr>
                <w:rFonts w:hint="eastAsia"/>
                <w:color w:val="auto"/>
                <w:sz w:val="24"/>
                <w:szCs w:val="24"/>
              </w:rPr>
              <w:t>加强员工环保培训和环境风险防范应急演练，</w:t>
            </w:r>
            <w:r>
              <w:rPr>
                <w:rFonts w:hint="eastAsia" w:ascii="宋体" w:hAnsi="宋体"/>
                <w:color w:val="auto"/>
                <w:sz w:val="24"/>
                <w:szCs w:val="24"/>
              </w:rPr>
              <w:t>避免环境污染事故发生。</w:t>
            </w:r>
          </w:p>
          <w:p w14:paraId="3E5B412A">
            <w:pPr>
              <w:pStyle w:val="32"/>
              <w:spacing w:after="0" w:line="360" w:lineRule="auto"/>
              <w:ind w:leftChars="0" w:firstLineChars="175"/>
              <w:rPr>
                <w:rFonts w:hint="default" w:ascii="Times New Roman" w:hAnsi="Times New Roman" w:cs="Times New Roman"/>
                <w:color w:val="0000FF"/>
                <w:sz w:val="24"/>
                <w:szCs w:val="24"/>
              </w:rPr>
            </w:pPr>
          </w:p>
        </w:tc>
      </w:tr>
    </w:tbl>
    <w:p w14:paraId="02A6E899">
      <w:pPr>
        <w:rPr>
          <w:rFonts w:hint="default" w:ascii="Times New Roman" w:hAnsi="Times New Roman" w:cs="Times New Roman"/>
          <w:color w:val="0000FF"/>
        </w:rPr>
        <w:sectPr>
          <w:footerReference r:id="rId12" w:type="default"/>
          <w:pgSz w:w="11906" w:h="16838"/>
          <w:pgMar w:top="1440" w:right="1080" w:bottom="1440" w:left="1080" w:header="851" w:footer="964" w:gutter="0"/>
          <w:pgBorders>
            <w:top w:val="none" w:sz="0" w:space="0"/>
            <w:left w:val="none" w:sz="0" w:space="0"/>
            <w:bottom w:val="none" w:sz="0" w:space="0"/>
            <w:right w:val="none" w:sz="0" w:space="0"/>
          </w:pgBorders>
          <w:pgNumType w:fmt="numberInDash"/>
          <w:cols w:space="720" w:num="1"/>
          <w:docGrid w:type="lines" w:linePitch="312" w:charSpace="0"/>
        </w:sectPr>
      </w:pPr>
    </w:p>
    <w:p w14:paraId="0FFAA906">
      <w:pPr>
        <w:jc w:val="center"/>
        <w:rPr>
          <w:rFonts w:hint="default" w:ascii="Times New Roman" w:hAnsi="Times New Roman" w:cs="Times New Roman"/>
          <w:b/>
          <w:color w:val="auto"/>
          <w:sz w:val="24"/>
          <w:szCs w:val="24"/>
        </w:rPr>
      </w:pPr>
      <w:bookmarkStart w:id="55" w:name="_Toc545_WPSOffice_Level1"/>
      <w:bookmarkStart w:id="56" w:name="_Toc3260_WPSOffice_Level1"/>
      <w:r>
        <w:rPr>
          <w:rFonts w:hint="default" w:ascii="Times New Roman" w:hAnsi="Times New Roman" w:cs="Times New Roman"/>
          <w:b/>
          <w:color w:val="auto"/>
          <w:sz w:val="24"/>
          <w:szCs w:val="24"/>
        </w:rPr>
        <w:t>建设项目竣工环境保护</w:t>
      </w:r>
      <w:r>
        <w:rPr>
          <w:rFonts w:hint="eastAsia" w:ascii="Times New Roman" w:hAnsi="Times New Roman" w:cs="Times New Roman"/>
          <w:b/>
          <w:color w:val="auto"/>
          <w:sz w:val="24"/>
          <w:szCs w:val="24"/>
          <w:lang w:eastAsia="zh-CN"/>
        </w:rPr>
        <w:t>“</w:t>
      </w:r>
      <w:r>
        <w:rPr>
          <w:rFonts w:hint="default" w:ascii="Times New Roman" w:hAnsi="Times New Roman" w:cs="Times New Roman"/>
          <w:b/>
          <w:color w:val="auto"/>
          <w:sz w:val="24"/>
          <w:szCs w:val="24"/>
        </w:rPr>
        <w:t>三同时</w:t>
      </w:r>
      <w:r>
        <w:rPr>
          <w:rFonts w:hint="eastAsia" w:ascii="Times New Roman" w:hAnsi="Times New Roman" w:cs="Times New Roman"/>
          <w:b/>
          <w:color w:val="auto"/>
          <w:sz w:val="24"/>
          <w:szCs w:val="24"/>
          <w:lang w:eastAsia="zh-CN"/>
        </w:rPr>
        <w:t>”</w:t>
      </w:r>
      <w:r>
        <w:rPr>
          <w:rFonts w:hint="default" w:ascii="Times New Roman" w:hAnsi="Times New Roman" w:cs="Times New Roman"/>
          <w:b/>
          <w:color w:val="auto"/>
          <w:sz w:val="24"/>
          <w:szCs w:val="24"/>
        </w:rPr>
        <w:t>验收登记表</w:t>
      </w:r>
      <w:bookmarkEnd w:id="55"/>
    </w:p>
    <w:p w14:paraId="5C6496AA">
      <w:pPr>
        <w:rPr>
          <w:rFonts w:hint="default"/>
        </w:rPr>
      </w:pPr>
    </w:p>
    <w:tbl>
      <w:tblPr>
        <w:tblStyle w:val="33"/>
        <w:tblpPr w:leftFromText="180" w:rightFromText="180" w:vertAnchor="text" w:horzAnchor="margin" w:tblpX="-279" w:tblpY="362"/>
        <w:tblOverlap w:val="never"/>
        <w:tblW w:w="153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3"/>
        <w:gridCol w:w="1190"/>
        <w:gridCol w:w="705"/>
        <w:gridCol w:w="777"/>
        <w:gridCol w:w="22"/>
        <w:gridCol w:w="1073"/>
        <w:gridCol w:w="345"/>
        <w:gridCol w:w="567"/>
        <w:gridCol w:w="319"/>
        <w:gridCol w:w="952"/>
        <w:gridCol w:w="713"/>
        <w:gridCol w:w="426"/>
        <w:gridCol w:w="141"/>
        <w:gridCol w:w="1127"/>
        <w:gridCol w:w="716"/>
        <w:gridCol w:w="223"/>
        <w:gridCol w:w="343"/>
        <w:gridCol w:w="1"/>
        <w:gridCol w:w="896"/>
        <w:gridCol w:w="637"/>
        <w:gridCol w:w="593"/>
        <w:gridCol w:w="848"/>
        <w:gridCol w:w="622"/>
        <w:gridCol w:w="474"/>
        <w:gridCol w:w="891"/>
      </w:tblGrid>
      <w:tr w14:paraId="1C97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5" w:hRule="exact"/>
        </w:trPr>
        <w:tc>
          <w:tcPr>
            <w:tcW w:w="713" w:type="dxa"/>
            <w:vMerge w:val="restart"/>
            <w:noWrap w:val="0"/>
            <w:vAlign w:val="center"/>
          </w:tcPr>
          <w:p w14:paraId="4E9CC64F">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建设</w:t>
            </w:r>
          </w:p>
          <w:p w14:paraId="2F587CCE">
            <w:pPr>
              <w:pStyle w:val="70"/>
              <w:spacing w:line="240" w:lineRule="exact"/>
              <w:rPr>
                <w:rFonts w:hint="default" w:ascii="Times New Roman" w:hAnsi="Times New Roman" w:cs="Times New Roman"/>
                <w:color w:val="0000FF"/>
              </w:rPr>
            </w:pPr>
            <w:r>
              <w:rPr>
                <w:rFonts w:hint="default" w:ascii="Times New Roman" w:hAnsi="Times New Roman" w:cs="Times New Roman"/>
                <w:color w:val="auto"/>
              </w:rPr>
              <w:t>项目</w:t>
            </w:r>
          </w:p>
        </w:tc>
        <w:tc>
          <w:tcPr>
            <w:tcW w:w="1895" w:type="dxa"/>
            <w:gridSpan w:val="2"/>
            <w:noWrap w:val="0"/>
            <w:vAlign w:val="center"/>
          </w:tcPr>
          <w:p w14:paraId="1B692D4F">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项目名称</w:t>
            </w:r>
          </w:p>
        </w:tc>
        <w:tc>
          <w:tcPr>
            <w:tcW w:w="2784" w:type="dxa"/>
            <w:gridSpan w:val="5"/>
            <w:noWrap w:val="0"/>
            <w:vAlign w:val="center"/>
          </w:tcPr>
          <w:p w14:paraId="4F60C550">
            <w:pPr>
              <w:pStyle w:val="70"/>
              <w:spacing w:line="240" w:lineRule="exact"/>
              <w:rPr>
                <w:rFonts w:hint="default" w:ascii="Times New Roman" w:hAnsi="Times New Roman" w:eastAsia="宋体" w:cs="Times New Roman"/>
                <w:color w:val="auto"/>
                <w:lang w:val="en-US" w:eastAsia="zh-CN"/>
              </w:rPr>
            </w:pPr>
            <w:r>
              <w:rPr>
                <w:sz w:val="18"/>
                <w:szCs w:val="13"/>
              </w:rPr>
              <w:t>青川县餐厨垃圾无害化处理、资源化利用项目</w:t>
            </w:r>
          </w:p>
        </w:tc>
        <w:tc>
          <w:tcPr>
            <w:tcW w:w="1984" w:type="dxa"/>
            <w:gridSpan w:val="3"/>
            <w:noWrap w:val="0"/>
            <w:vAlign w:val="center"/>
          </w:tcPr>
          <w:p w14:paraId="6F71CC46">
            <w:pPr>
              <w:pStyle w:val="70"/>
              <w:spacing w:line="240" w:lineRule="exac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项目代码</w:t>
            </w:r>
          </w:p>
        </w:tc>
        <w:tc>
          <w:tcPr>
            <w:tcW w:w="2976" w:type="dxa"/>
            <w:gridSpan w:val="6"/>
            <w:noWrap w:val="0"/>
            <w:vAlign w:val="center"/>
          </w:tcPr>
          <w:p w14:paraId="591FE746">
            <w:pPr>
              <w:pStyle w:val="70"/>
              <w:spacing w:line="24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2020-510822-77-01-461989</w:t>
            </w:r>
          </w:p>
        </w:tc>
        <w:tc>
          <w:tcPr>
            <w:tcW w:w="2127" w:type="dxa"/>
            <w:gridSpan w:val="4"/>
            <w:noWrap w:val="0"/>
            <w:vAlign w:val="center"/>
          </w:tcPr>
          <w:p w14:paraId="75E6758B">
            <w:pPr>
              <w:pStyle w:val="70"/>
              <w:spacing w:line="240" w:lineRule="exac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建设地址</w:t>
            </w:r>
          </w:p>
        </w:tc>
        <w:tc>
          <w:tcPr>
            <w:tcW w:w="2835" w:type="dxa"/>
            <w:gridSpan w:val="4"/>
            <w:noWrap w:val="0"/>
            <w:vAlign w:val="center"/>
          </w:tcPr>
          <w:p w14:paraId="2670A300">
            <w:pPr>
              <w:pStyle w:val="70"/>
              <w:spacing w:line="240" w:lineRule="exact"/>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auto"/>
                <w:lang w:val="en-US" w:eastAsia="zh-CN"/>
              </w:rPr>
              <w:t>四川省广元市</w:t>
            </w:r>
            <w:r>
              <w:rPr>
                <w:rFonts w:hint="default" w:ascii="Times New Roman" w:hAnsi="Times New Roman" w:eastAsia="宋体" w:cs="Times New Roman"/>
                <w:color w:val="auto"/>
                <w:lang w:val="en-US" w:eastAsia="zh-CN"/>
              </w:rPr>
              <w:t>青川县乔庄镇</w:t>
            </w:r>
            <w:r>
              <w:rPr>
                <w:rFonts w:hint="eastAsia" w:ascii="Times New Roman" w:hAnsi="Times New Roman" w:eastAsia="宋体" w:cs="Times New Roman"/>
                <w:color w:val="auto"/>
                <w:lang w:val="en-US" w:eastAsia="zh-CN"/>
              </w:rPr>
              <w:t>建设村秧田湾</w:t>
            </w:r>
          </w:p>
        </w:tc>
      </w:tr>
      <w:tr w14:paraId="3CF8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exact"/>
        </w:trPr>
        <w:tc>
          <w:tcPr>
            <w:tcW w:w="713" w:type="dxa"/>
            <w:vMerge w:val="continue"/>
            <w:noWrap w:val="0"/>
            <w:vAlign w:val="center"/>
          </w:tcPr>
          <w:p w14:paraId="3F4B662A">
            <w:pPr>
              <w:pStyle w:val="70"/>
              <w:spacing w:line="240" w:lineRule="exact"/>
              <w:rPr>
                <w:rFonts w:hint="default" w:ascii="Times New Roman" w:hAnsi="Times New Roman" w:cs="Times New Roman"/>
                <w:color w:val="0000FF"/>
              </w:rPr>
            </w:pPr>
          </w:p>
        </w:tc>
        <w:tc>
          <w:tcPr>
            <w:tcW w:w="1895" w:type="dxa"/>
            <w:gridSpan w:val="2"/>
            <w:noWrap w:val="0"/>
            <w:vAlign w:val="center"/>
          </w:tcPr>
          <w:p w14:paraId="38B47F17">
            <w:pPr>
              <w:pStyle w:val="70"/>
              <w:spacing w:line="240" w:lineRule="exact"/>
              <w:rPr>
                <w:rFonts w:hint="default" w:ascii="Times New Roman" w:hAnsi="Times New Roman" w:eastAsia="宋体" w:cs="Times New Roman"/>
                <w:color w:val="auto"/>
              </w:rPr>
            </w:pPr>
            <w:r>
              <w:rPr>
                <w:rFonts w:hint="default" w:ascii="Times New Roman" w:hAnsi="Times New Roman" w:eastAsia="宋体" w:cs="Times New Roman"/>
                <w:color w:val="auto"/>
              </w:rPr>
              <w:t>行业类别</w:t>
            </w:r>
          </w:p>
          <w:p w14:paraId="349A470A">
            <w:pPr>
              <w:pStyle w:val="70"/>
              <w:spacing w:line="240" w:lineRule="exact"/>
              <w:rPr>
                <w:rFonts w:hint="default" w:ascii="Times New Roman" w:hAnsi="Times New Roman" w:eastAsia="宋体" w:cs="Times New Roman"/>
                <w:color w:val="auto"/>
              </w:rPr>
            </w:pPr>
            <w:r>
              <w:rPr>
                <w:rFonts w:hint="default" w:ascii="Times New Roman" w:hAnsi="Times New Roman" w:eastAsia="宋体" w:cs="Times New Roman"/>
                <w:color w:val="auto"/>
              </w:rPr>
              <w:t>（分类管理名录）</w:t>
            </w:r>
          </w:p>
          <w:p w14:paraId="161EE97F">
            <w:pPr>
              <w:pStyle w:val="70"/>
              <w:spacing w:line="240" w:lineRule="exact"/>
              <w:rPr>
                <w:rFonts w:hint="default" w:ascii="Times New Roman" w:hAnsi="Times New Roman" w:eastAsia="宋体" w:cs="Times New Roman"/>
                <w:color w:val="auto"/>
              </w:rPr>
            </w:pPr>
          </w:p>
        </w:tc>
        <w:tc>
          <w:tcPr>
            <w:tcW w:w="2784" w:type="dxa"/>
            <w:gridSpan w:val="5"/>
            <w:noWrap w:val="0"/>
            <w:vAlign w:val="center"/>
          </w:tcPr>
          <w:p w14:paraId="3E514B43">
            <w:pPr>
              <w:pStyle w:val="70"/>
              <w:spacing w:line="24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N7820 环境卫生管理</w:t>
            </w:r>
          </w:p>
        </w:tc>
        <w:tc>
          <w:tcPr>
            <w:tcW w:w="1984" w:type="dxa"/>
            <w:gridSpan w:val="3"/>
            <w:noWrap w:val="0"/>
            <w:vAlign w:val="center"/>
          </w:tcPr>
          <w:p w14:paraId="6FCBDE18">
            <w:pPr>
              <w:pStyle w:val="70"/>
              <w:spacing w:line="240" w:lineRule="exac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建设性质</w:t>
            </w:r>
          </w:p>
        </w:tc>
        <w:tc>
          <w:tcPr>
            <w:tcW w:w="2976" w:type="dxa"/>
            <w:gridSpan w:val="6"/>
            <w:noWrap w:val="0"/>
            <w:vAlign w:val="center"/>
          </w:tcPr>
          <w:p w14:paraId="2F812853">
            <w:pPr>
              <w:pStyle w:val="70"/>
              <w:spacing w:line="240" w:lineRule="exac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sym w:font="Wingdings" w:char="00FE"/>
            </w:r>
            <w:r>
              <w:rPr>
                <w:rFonts w:hint="default" w:ascii="Times New Roman" w:hAnsi="Times New Roman" w:eastAsia="宋体" w:cs="Times New Roman"/>
                <w:color w:val="auto"/>
                <w:lang w:val="en-US" w:eastAsia="zh-CN"/>
              </w:rPr>
              <w:t xml:space="preserve">新建  </w:t>
            </w:r>
            <w:r>
              <w:rPr>
                <w:rFonts w:hint="default" w:ascii="Times New Roman" w:hAnsi="Times New Roman" w:eastAsia="宋体" w:cs="Times New Roman"/>
                <w:color w:val="auto"/>
                <w:lang w:val="en-US" w:eastAsia="zh-CN"/>
              </w:rPr>
              <w:sym w:font="Wingdings" w:char="00A8"/>
            </w:r>
            <w:r>
              <w:rPr>
                <w:rFonts w:hint="default" w:ascii="Times New Roman" w:hAnsi="Times New Roman" w:eastAsia="宋体" w:cs="Times New Roman"/>
                <w:color w:val="auto"/>
                <w:lang w:val="en-US" w:eastAsia="zh-CN"/>
              </w:rPr>
              <w:t xml:space="preserve">改扩建  </w:t>
            </w:r>
            <w:r>
              <w:rPr>
                <w:rFonts w:hint="default" w:ascii="Times New Roman" w:hAnsi="Times New Roman" w:eastAsia="宋体" w:cs="Times New Roman"/>
                <w:color w:val="auto"/>
                <w:lang w:val="en-US" w:eastAsia="zh-CN"/>
              </w:rPr>
              <w:sym w:font="Wingdings" w:char="00A8"/>
            </w:r>
            <w:r>
              <w:rPr>
                <w:rFonts w:hint="default" w:ascii="Times New Roman" w:hAnsi="Times New Roman" w:eastAsia="宋体" w:cs="Times New Roman"/>
                <w:color w:val="auto"/>
                <w:lang w:val="en-US" w:eastAsia="zh-CN"/>
              </w:rPr>
              <w:t>技术改造</w:t>
            </w:r>
          </w:p>
        </w:tc>
        <w:tc>
          <w:tcPr>
            <w:tcW w:w="2127" w:type="dxa"/>
            <w:gridSpan w:val="4"/>
            <w:noWrap w:val="0"/>
            <w:vAlign w:val="center"/>
          </w:tcPr>
          <w:p w14:paraId="213C2D81">
            <w:pPr>
              <w:pStyle w:val="70"/>
              <w:spacing w:line="24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项目所在地经纬度</w:t>
            </w:r>
          </w:p>
        </w:tc>
        <w:tc>
          <w:tcPr>
            <w:tcW w:w="2835" w:type="dxa"/>
            <w:gridSpan w:val="4"/>
            <w:noWrap w:val="0"/>
            <w:vAlign w:val="center"/>
          </w:tcPr>
          <w:p w14:paraId="669D63B3">
            <w:pPr>
              <w:pStyle w:val="70"/>
              <w:spacing w:line="24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 东经：105 度 13 分 59.2 秒</w:t>
            </w:r>
          </w:p>
          <w:p w14:paraId="0412ECA3">
            <w:pPr>
              <w:pStyle w:val="70"/>
              <w:spacing w:line="24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北纬：32 度 32 分 45.6 秒</w:t>
            </w:r>
          </w:p>
        </w:tc>
      </w:tr>
      <w:tr w14:paraId="6860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3" w:hRule="exact"/>
        </w:trPr>
        <w:tc>
          <w:tcPr>
            <w:tcW w:w="713" w:type="dxa"/>
            <w:vMerge w:val="continue"/>
            <w:noWrap w:val="0"/>
            <w:vAlign w:val="center"/>
          </w:tcPr>
          <w:p w14:paraId="1A5A7D6B">
            <w:pPr>
              <w:pStyle w:val="70"/>
              <w:spacing w:line="240" w:lineRule="exact"/>
              <w:rPr>
                <w:rFonts w:hint="default" w:ascii="Times New Roman" w:hAnsi="Times New Roman" w:cs="Times New Roman"/>
                <w:color w:val="0000FF"/>
              </w:rPr>
            </w:pPr>
          </w:p>
        </w:tc>
        <w:tc>
          <w:tcPr>
            <w:tcW w:w="1895" w:type="dxa"/>
            <w:gridSpan w:val="2"/>
            <w:noWrap w:val="0"/>
            <w:vAlign w:val="center"/>
          </w:tcPr>
          <w:p w14:paraId="4142130D">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设计生产能力</w:t>
            </w:r>
          </w:p>
        </w:tc>
        <w:tc>
          <w:tcPr>
            <w:tcW w:w="2784" w:type="dxa"/>
            <w:gridSpan w:val="5"/>
            <w:noWrap w:val="0"/>
            <w:vAlign w:val="center"/>
          </w:tcPr>
          <w:p w14:paraId="5F475569">
            <w:pPr>
              <w:pStyle w:val="70"/>
              <w:spacing w:line="240" w:lineRule="exact"/>
              <w:jc w:val="center"/>
              <w:rPr>
                <w:rFonts w:hint="default" w:ascii="Times New Roman" w:hAnsi="Times New Roman" w:eastAsia="宋体" w:cs="Times New Roman"/>
                <w:color w:val="auto"/>
                <w:kern w:val="0"/>
                <w:sz w:val="18"/>
                <w:szCs w:val="20"/>
                <w:lang w:val="en-US" w:eastAsia="zh-CN" w:bidi="ar-SA"/>
              </w:rPr>
            </w:pPr>
            <w:r>
              <w:rPr>
                <w:rFonts w:hint="eastAsia" w:cs="Times New Roman"/>
                <w:color w:val="auto"/>
                <w:kern w:val="0"/>
                <w:sz w:val="18"/>
                <w:szCs w:val="20"/>
                <w:lang w:val="en-US" w:eastAsia="zh-CN" w:bidi="ar-SA"/>
              </w:rPr>
              <w:t>日处理餐厨垃圾20吨</w:t>
            </w:r>
          </w:p>
        </w:tc>
        <w:tc>
          <w:tcPr>
            <w:tcW w:w="1984" w:type="dxa"/>
            <w:gridSpan w:val="3"/>
            <w:noWrap w:val="0"/>
            <w:vAlign w:val="center"/>
          </w:tcPr>
          <w:p w14:paraId="44B5E588">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default" w:ascii="Times New Roman" w:hAnsi="Times New Roman" w:eastAsia="宋体" w:cs="Times New Roman"/>
                <w:color w:val="auto"/>
                <w:kern w:val="0"/>
                <w:sz w:val="18"/>
                <w:szCs w:val="20"/>
                <w:lang w:val="en-US" w:eastAsia="zh-CN" w:bidi="ar-SA"/>
              </w:rPr>
              <w:t>实际生产能力</w:t>
            </w:r>
          </w:p>
        </w:tc>
        <w:tc>
          <w:tcPr>
            <w:tcW w:w="2977" w:type="dxa"/>
            <w:gridSpan w:val="7"/>
            <w:noWrap w:val="0"/>
            <w:vAlign w:val="center"/>
          </w:tcPr>
          <w:p w14:paraId="709FC7D9">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eastAsia" w:cs="Times New Roman"/>
                <w:color w:val="auto"/>
                <w:kern w:val="0"/>
                <w:sz w:val="18"/>
                <w:szCs w:val="20"/>
                <w:lang w:val="en-US" w:eastAsia="zh-CN" w:bidi="ar-SA"/>
              </w:rPr>
              <w:t>日处理餐厨垃圾20吨</w:t>
            </w:r>
          </w:p>
        </w:tc>
        <w:tc>
          <w:tcPr>
            <w:tcW w:w="2126" w:type="dxa"/>
            <w:gridSpan w:val="3"/>
            <w:noWrap w:val="0"/>
            <w:vAlign w:val="center"/>
          </w:tcPr>
          <w:p w14:paraId="14BAD2DA">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default" w:ascii="Times New Roman" w:hAnsi="Times New Roman" w:eastAsia="宋体" w:cs="Times New Roman"/>
                <w:color w:val="auto"/>
                <w:kern w:val="0"/>
                <w:sz w:val="18"/>
                <w:szCs w:val="20"/>
                <w:lang w:val="en-US" w:eastAsia="zh-CN" w:bidi="ar-SA"/>
              </w:rPr>
              <w:t>环评单位</w:t>
            </w:r>
          </w:p>
        </w:tc>
        <w:tc>
          <w:tcPr>
            <w:tcW w:w="2835" w:type="dxa"/>
            <w:gridSpan w:val="4"/>
            <w:noWrap w:val="0"/>
            <w:vAlign w:val="center"/>
          </w:tcPr>
          <w:p w14:paraId="4BD74F82">
            <w:pPr>
              <w:pStyle w:val="70"/>
              <w:spacing w:line="240" w:lineRule="exact"/>
              <w:rPr>
                <w:rFonts w:hint="eastAsia" w:ascii="Times New Roman" w:hAnsi="Times New Roman" w:eastAsia="宋体" w:cs="Times New Roman"/>
                <w:color w:val="auto"/>
                <w:kern w:val="0"/>
                <w:sz w:val="18"/>
                <w:szCs w:val="20"/>
                <w:lang w:val="en-US" w:eastAsia="zh-CN" w:bidi="ar-SA"/>
              </w:rPr>
            </w:pPr>
            <w:r>
              <w:rPr>
                <w:rFonts w:hint="eastAsia" w:ascii="Times New Roman" w:hAnsi="Times New Roman" w:eastAsia="宋体" w:cs="Times New Roman"/>
                <w:color w:val="auto"/>
                <w:kern w:val="0"/>
                <w:sz w:val="18"/>
                <w:szCs w:val="20"/>
                <w:lang w:val="en-US" w:eastAsia="zh-CN" w:bidi="ar-SA"/>
              </w:rPr>
              <w:t>四川友信恒创环保科技有限公司</w:t>
            </w:r>
          </w:p>
        </w:tc>
      </w:tr>
      <w:tr w14:paraId="5768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6" w:hRule="exact"/>
        </w:trPr>
        <w:tc>
          <w:tcPr>
            <w:tcW w:w="713" w:type="dxa"/>
            <w:vMerge w:val="continue"/>
            <w:noWrap w:val="0"/>
            <w:vAlign w:val="center"/>
          </w:tcPr>
          <w:p w14:paraId="1F0EC2FA">
            <w:pPr>
              <w:pStyle w:val="70"/>
              <w:spacing w:line="240" w:lineRule="exact"/>
              <w:rPr>
                <w:rFonts w:hint="default" w:ascii="Times New Roman" w:hAnsi="Times New Roman" w:cs="Times New Roman"/>
                <w:color w:val="0000FF"/>
              </w:rPr>
            </w:pPr>
          </w:p>
        </w:tc>
        <w:tc>
          <w:tcPr>
            <w:tcW w:w="1895" w:type="dxa"/>
            <w:gridSpan w:val="2"/>
            <w:noWrap w:val="0"/>
            <w:vAlign w:val="center"/>
          </w:tcPr>
          <w:p w14:paraId="2F79B987">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环评文件审批机关</w:t>
            </w:r>
          </w:p>
        </w:tc>
        <w:tc>
          <w:tcPr>
            <w:tcW w:w="2784" w:type="dxa"/>
            <w:gridSpan w:val="5"/>
            <w:noWrap w:val="0"/>
            <w:vAlign w:val="center"/>
          </w:tcPr>
          <w:p w14:paraId="693DEF3F">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eastAsia" w:cs="Times New Roman"/>
                <w:color w:val="auto"/>
                <w:kern w:val="0"/>
                <w:sz w:val="18"/>
                <w:szCs w:val="20"/>
                <w:lang w:val="en-US" w:eastAsia="zh-CN" w:bidi="ar-SA"/>
              </w:rPr>
              <w:t>广元市青川生态环境</w:t>
            </w:r>
            <w:r>
              <w:rPr>
                <w:rFonts w:hint="eastAsia" w:ascii="Times New Roman" w:hAnsi="Times New Roman" w:eastAsia="宋体" w:cs="Times New Roman"/>
                <w:color w:val="auto"/>
                <w:kern w:val="0"/>
                <w:sz w:val="18"/>
                <w:szCs w:val="20"/>
                <w:lang w:val="en-US" w:eastAsia="zh-CN" w:bidi="ar-SA"/>
              </w:rPr>
              <w:t>局</w:t>
            </w:r>
          </w:p>
        </w:tc>
        <w:tc>
          <w:tcPr>
            <w:tcW w:w="1984" w:type="dxa"/>
            <w:gridSpan w:val="3"/>
            <w:noWrap w:val="0"/>
            <w:vAlign w:val="center"/>
          </w:tcPr>
          <w:p w14:paraId="0E54D35E">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default" w:ascii="Times New Roman" w:hAnsi="Times New Roman" w:eastAsia="宋体" w:cs="Times New Roman"/>
                <w:color w:val="auto"/>
                <w:kern w:val="0"/>
                <w:sz w:val="18"/>
                <w:szCs w:val="20"/>
                <w:lang w:val="en-US" w:eastAsia="zh-CN" w:bidi="ar-SA"/>
              </w:rPr>
              <w:t>审批文号</w:t>
            </w:r>
          </w:p>
        </w:tc>
        <w:tc>
          <w:tcPr>
            <w:tcW w:w="2977" w:type="dxa"/>
            <w:gridSpan w:val="7"/>
            <w:noWrap w:val="0"/>
            <w:vAlign w:val="center"/>
          </w:tcPr>
          <w:p w14:paraId="2BE5E484">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eastAsia" w:cs="Times New Roman"/>
                <w:color w:val="auto"/>
                <w:kern w:val="0"/>
                <w:sz w:val="18"/>
                <w:szCs w:val="20"/>
                <w:lang w:val="en-US" w:eastAsia="zh-CN" w:bidi="ar-SA"/>
              </w:rPr>
              <w:t>广青环审</w:t>
            </w:r>
            <w:r>
              <w:rPr>
                <w:rFonts w:hint="default" w:ascii="Times New Roman" w:hAnsi="Times New Roman" w:eastAsia="宋体" w:cs="Times New Roman"/>
                <w:color w:val="auto"/>
                <w:kern w:val="0"/>
                <w:sz w:val="18"/>
                <w:szCs w:val="20"/>
                <w:lang w:val="en-US" w:eastAsia="zh-CN" w:bidi="ar-SA"/>
              </w:rPr>
              <w:t>［</w:t>
            </w:r>
            <w:r>
              <w:rPr>
                <w:rFonts w:hint="eastAsia" w:ascii="Times New Roman" w:hAnsi="Times New Roman" w:eastAsia="宋体" w:cs="Times New Roman"/>
                <w:color w:val="auto"/>
                <w:kern w:val="0"/>
                <w:sz w:val="18"/>
                <w:szCs w:val="20"/>
                <w:lang w:val="en-US" w:eastAsia="zh-CN" w:bidi="ar-SA"/>
              </w:rPr>
              <w:t>20</w:t>
            </w:r>
            <w:r>
              <w:rPr>
                <w:rFonts w:hint="eastAsia" w:cs="Times New Roman"/>
                <w:color w:val="auto"/>
                <w:kern w:val="0"/>
                <w:sz w:val="18"/>
                <w:szCs w:val="20"/>
                <w:lang w:val="en-US" w:eastAsia="zh-CN" w:bidi="ar-SA"/>
              </w:rPr>
              <w:t>24</w:t>
            </w:r>
            <w:r>
              <w:rPr>
                <w:rFonts w:hint="default" w:ascii="Times New Roman" w:hAnsi="Times New Roman" w:eastAsia="宋体" w:cs="Times New Roman"/>
                <w:color w:val="auto"/>
                <w:kern w:val="0"/>
                <w:sz w:val="18"/>
                <w:szCs w:val="20"/>
                <w:lang w:val="en-US" w:eastAsia="zh-CN" w:bidi="ar-SA"/>
              </w:rPr>
              <w:t>］</w:t>
            </w:r>
            <w:r>
              <w:rPr>
                <w:rFonts w:hint="eastAsia" w:cs="Times New Roman"/>
                <w:color w:val="auto"/>
                <w:kern w:val="0"/>
                <w:sz w:val="18"/>
                <w:szCs w:val="20"/>
                <w:lang w:val="en-US" w:eastAsia="zh-CN" w:bidi="ar-SA"/>
              </w:rPr>
              <w:t>3</w:t>
            </w:r>
            <w:r>
              <w:rPr>
                <w:rFonts w:hint="default" w:ascii="Times New Roman" w:hAnsi="Times New Roman" w:eastAsia="宋体" w:cs="Times New Roman"/>
                <w:color w:val="auto"/>
                <w:kern w:val="0"/>
                <w:sz w:val="18"/>
                <w:szCs w:val="20"/>
                <w:lang w:val="en-US" w:eastAsia="zh-CN" w:bidi="ar-SA"/>
              </w:rPr>
              <w:t>号</w:t>
            </w:r>
          </w:p>
        </w:tc>
        <w:tc>
          <w:tcPr>
            <w:tcW w:w="2126" w:type="dxa"/>
            <w:gridSpan w:val="3"/>
            <w:noWrap w:val="0"/>
            <w:vAlign w:val="center"/>
          </w:tcPr>
          <w:p w14:paraId="4457336E">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default" w:ascii="Times New Roman" w:hAnsi="Times New Roman" w:eastAsia="宋体" w:cs="Times New Roman"/>
                <w:color w:val="auto"/>
                <w:kern w:val="0"/>
                <w:sz w:val="18"/>
                <w:szCs w:val="20"/>
                <w:lang w:val="en-US" w:eastAsia="zh-CN" w:bidi="ar-SA"/>
              </w:rPr>
              <w:t>环评文件类型</w:t>
            </w:r>
          </w:p>
        </w:tc>
        <w:tc>
          <w:tcPr>
            <w:tcW w:w="2835" w:type="dxa"/>
            <w:gridSpan w:val="4"/>
            <w:noWrap w:val="0"/>
            <w:vAlign w:val="center"/>
          </w:tcPr>
          <w:p w14:paraId="2AD045AB">
            <w:pPr>
              <w:pStyle w:val="70"/>
              <w:spacing w:line="240" w:lineRule="exact"/>
              <w:rPr>
                <w:rFonts w:hint="default" w:ascii="Times New Roman" w:hAnsi="Times New Roman" w:eastAsia="宋体" w:cs="Times New Roman"/>
                <w:color w:val="auto"/>
                <w:kern w:val="0"/>
                <w:sz w:val="18"/>
                <w:szCs w:val="20"/>
                <w:lang w:val="en-US" w:eastAsia="zh-CN" w:bidi="ar-SA"/>
              </w:rPr>
            </w:pPr>
            <w:r>
              <w:rPr>
                <w:rFonts w:hint="default" w:ascii="Times New Roman" w:hAnsi="Times New Roman" w:eastAsia="宋体" w:cs="Times New Roman"/>
                <w:color w:val="auto"/>
                <w:kern w:val="0"/>
                <w:sz w:val="18"/>
                <w:szCs w:val="20"/>
                <w:lang w:val="en-US" w:eastAsia="zh-CN" w:bidi="ar-SA"/>
              </w:rPr>
              <w:t>报告表</w:t>
            </w:r>
          </w:p>
        </w:tc>
      </w:tr>
      <w:tr w14:paraId="0AB0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7" w:hRule="exact"/>
        </w:trPr>
        <w:tc>
          <w:tcPr>
            <w:tcW w:w="713" w:type="dxa"/>
            <w:vMerge w:val="continue"/>
            <w:noWrap w:val="0"/>
            <w:vAlign w:val="center"/>
          </w:tcPr>
          <w:p w14:paraId="50E211E8">
            <w:pPr>
              <w:pStyle w:val="70"/>
              <w:spacing w:line="240" w:lineRule="exact"/>
              <w:rPr>
                <w:rFonts w:hint="default" w:ascii="Times New Roman" w:hAnsi="Times New Roman" w:cs="Times New Roman"/>
                <w:color w:val="0000FF"/>
              </w:rPr>
            </w:pPr>
          </w:p>
        </w:tc>
        <w:tc>
          <w:tcPr>
            <w:tcW w:w="1895" w:type="dxa"/>
            <w:gridSpan w:val="2"/>
            <w:noWrap w:val="0"/>
            <w:vAlign w:val="center"/>
          </w:tcPr>
          <w:p w14:paraId="48BE42D8">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开工日期</w:t>
            </w:r>
          </w:p>
        </w:tc>
        <w:tc>
          <w:tcPr>
            <w:tcW w:w="2784" w:type="dxa"/>
            <w:gridSpan w:val="5"/>
            <w:noWrap w:val="0"/>
            <w:vAlign w:val="center"/>
          </w:tcPr>
          <w:p w14:paraId="74CA0284">
            <w:pPr>
              <w:pStyle w:val="70"/>
              <w:spacing w:line="240" w:lineRule="exact"/>
              <w:rPr>
                <w:rFonts w:hint="default" w:ascii="Times New Roman" w:hAnsi="Times New Roman" w:eastAsia="宋体" w:cs="Times New Roman"/>
                <w:color w:val="auto"/>
                <w:lang w:val="en-US" w:eastAsia="zh-CN"/>
              </w:rPr>
            </w:pPr>
            <w:r>
              <w:rPr>
                <w:rFonts w:hint="default" w:ascii="Times New Roman" w:hAnsi="Times New Roman" w:cs="Times New Roman"/>
                <w:color w:val="auto"/>
              </w:rPr>
              <w:t>20</w:t>
            </w:r>
            <w:r>
              <w:rPr>
                <w:rFonts w:hint="eastAsia" w:cs="Times New Roman"/>
                <w:color w:val="auto"/>
                <w:lang w:val="en-US" w:eastAsia="zh-CN"/>
              </w:rPr>
              <w:t>24-10</w:t>
            </w:r>
          </w:p>
        </w:tc>
        <w:tc>
          <w:tcPr>
            <w:tcW w:w="1984" w:type="dxa"/>
            <w:gridSpan w:val="3"/>
            <w:noWrap w:val="0"/>
            <w:vAlign w:val="center"/>
          </w:tcPr>
          <w:p w14:paraId="3ACACADD">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竣工日期</w:t>
            </w:r>
          </w:p>
        </w:tc>
        <w:tc>
          <w:tcPr>
            <w:tcW w:w="2977" w:type="dxa"/>
            <w:gridSpan w:val="7"/>
            <w:noWrap w:val="0"/>
            <w:vAlign w:val="center"/>
          </w:tcPr>
          <w:p w14:paraId="5AD78D41">
            <w:pPr>
              <w:pStyle w:val="70"/>
              <w:spacing w:line="240" w:lineRule="exact"/>
              <w:rPr>
                <w:rFonts w:hint="default" w:ascii="Times New Roman" w:hAnsi="Times New Roman" w:eastAsia="宋体" w:cs="Times New Roman"/>
                <w:color w:val="auto"/>
                <w:lang w:val="en-US" w:eastAsia="zh-CN"/>
              </w:rPr>
            </w:pPr>
            <w:r>
              <w:rPr>
                <w:rFonts w:hint="default" w:ascii="Times New Roman" w:hAnsi="Times New Roman" w:cs="Times New Roman"/>
                <w:color w:val="auto"/>
              </w:rPr>
              <w:t>20</w:t>
            </w:r>
            <w:r>
              <w:rPr>
                <w:rFonts w:hint="eastAsia" w:ascii="Times New Roman" w:hAnsi="Times New Roman" w:cs="Times New Roman"/>
                <w:color w:val="auto"/>
                <w:lang w:val="en-US" w:eastAsia="zh-CN"/>
              </w:rPr>
              <w:t>2</w:t>
            </w:r>
            <w:r>
              <w:rPr>
                <w:rFonts w:hint="eastAsia" w:cs="Times New Roman"/>
                <w:color w:val="auto"/>
                <w:lang w:val="en-US" w:eastAsia="zh-CN"/>
              </w:rPr>
              <w:t>5-6</w:t>
            </w:r>
          </w:p>
        </w:tc>
        <w:tc>
          <w:tcPr>
            <w:tcW w:w="2126" w:type="dxa"/>
            <w:gridSpan w:val="3"/>
            <w:noWrap w:val="0"/>
            <w:vAlign w:val="center"/>
          </w:tcPr>
          <w:p w14:paraId="28C12A86">
            <w:pPr>
              <w:pStyle w:val="70"/>
              <w:spacing w:line="240" w:lineRule="exact"/>
              <w:rPr>
                <w:rFonts w:hint="default" w:ascii="Times New Roman" w:hAnsi="Times New Roman" w:cs="Times New Roman"/>
                <w:color w:val="FF0000"/>
              </w:rPr>
            </w:pPr>
            <w:r>
              <w:rPr>
                <w:rFonts w:hint="default" w:ascii="Times New Roman" w:hAnsi="Times New Roman" w:cs="Times New Roman"/>
                <w:color w:val="FF0000"/>
              </w:rPr>
              <w:t>排污许可证申报时间</w:t>
            </w:r>
          </w:p>
        </w:tc>
        <w:tc>
          <w:tcPr>
            <w:tcW w:w="2835" w:type="dxa"/>
            <w:gridSpan w:val="4"/>
            <w:noWrap w:val="0"/>
            <w:vAlign w:val="center"/>
          </w:tcPr>
          <w:p w14:paraId="40271579">
            <w:pPr>
              <w:pStyle w:val="70"/>
              <w:spacing w:line="240" w:lineRule="exact"/>
              <w:rPr>
                <w:rFonts w:hint="default" w:ascii="Times New Roman" w:hAnsi="Times New Roman" w:eastAsia="宋体" w:cs="Times New Roman"/>
                <w:color w:val="FF0000"/>
                <w:lang w:val="en-US" w:eastAsia="zh-CN"/>
              </w:rPr>
            </w:pPr>
            <w:r>
              <w:rPr>
                <w:rFonts w:hint="eastAsia" w:cs="Times New Roman"/>
                <w:color w:val="FF0000"/>
                <w:lang w:val="en-US" w:eastAsia="zh-CN"/>
              </w:rPr>
              <w:t>2026</w:t>
            </w:r>
          </w:p>
        </w:tc>
      </w:tr>
      <w:tr w14:paraId="138D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exact"/>
        </w:trPr>
        <w:tc>
          <w:tcPr>
            <w:tcW w:w="713" w:type="dxa"/>
            <w:vMerge w:val="continue"/>
            <w:noWrap w:val="0"/>
            <w:vAlign w:val="center"/>
          </w:tcPr>
          <w:p w14:paraId="45ACAC58">
            <w:pPr>
              <w:pStyle w:val="70"/>
              <w:spacing w:line="240" w:lineRule="exact"/>
              <w:rPr>
                <w:rFonts w:hint="default" w:ascii="Times New Roman" w:hAnsi="Times New Roman" w:cs="Times New Roman"/>
                <w:color w:val="0000FF"/>
              </w:rPr>
            </w:pPr>
          </w:p>
        </w:tc>
        <w:tc>
          <w:tcPr>
            <w:tcW w:w="1895" w:type="dxa"/>
            <w:gridSpan w:val="2"/>
            <w:noWrap w:val="0"/>
            <w:vAlign w:val="center"/>
          </w:tcPr>
          <w:p w14:paraId="420576B0">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环保设施设计单位</w:t>
            </w:r>
          </w:p>
        </w:tc>
        <w:tc>
          <w:tcPr>
            <w:tcW w:w="2784" w:type="dxa"/>
            <w:gridSpan w:val="5"/>
            <w:noWrap w:val="0"/>
            <w:vAlign w:val="center"/>
          </w:tcPr>
          <w:p w14:paraId="30C08085">
            <w:pPr>
              <w:pStyle w:val="70"/>
              <w:spacing w:line="240" w:lineRule="exact"/>
              <w:rPr>
                <w:rFonts w:hint="eastAsia" w:ascii="Times New Roman" w:hAnsi="Times New Roman" w:eastAsia="宋体" w:cs="Times New Roman"/>
                <w:color w:val="auto"/>
                <w:lang w:eastAsia="zh-CN"/>
              </w:rPr>
            </w:pPr>
            <w:r>
              <w:rPr>
                <w:rFonts w:hint="eastAsia" w:cs="Times New Roman"/>
                <w:color w:val="auto"/>
                <w:lang w:eastAsia="zh-CN"/>
              </w:rPr>
              <w:t>广元伟利森环保工程有限公司</w:t>
            </w:r>
          </w:p>
        </w:tc>
        <w:tc>
          <w:tcPr>
            <w:tcW w:w="1984" w:type="dxa"/>
            <w:gridSpan w:val="3"/>
            <w:noWrap w:val="0"/>
            <w:vAlign w:val="center"/>
          </w:tcPr>
          <w:p w14:paraId="1B21D21A">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环保设施施工单位</w:t>
            </w:r>
          </w:p>
        </w:tc>
        <w:tc>
          <w:tcPr>
            <w:tcW w:w="2977" w:type="dxa"/>
            <w:gridSpan w:val="7"/>
            <w:noWrap w:val="0"/>
            <w:vAlign w:val="center"/>
          </w:tcPr>
          <w:p w14:paraId="5AA21121">
            <w:pPr>
              <w:pStyle w:val="70"/>
              <w:spacing w:line="240" w:lineRule="exact"/>
              <w:rPr>
                <w:rFonts w:hint="default" w:ascii="Times New Roman" w:hAnsi="Times New Roman" w:cs="Times New Roman"/>
                <w:color w:val="auto"/>
              </w:rPr>
            </w:pPr>
            <w:r>
              <w:rPr>
                <w:rFonts w:hint="eastAsia" w:cs="Times New Roman"/>
                <w:color w:val="auto"/>
                <w:lang w:eastAsia="zh-CN"/>
              </w:rPr>
              <w:t>广元伟利森环保工程有限公司</w:t>
            </w:r>
          </w:p>
        </w:tc>
        <w:tc>
          <w:tcPr>
            <w:tcW w:w="2126" w:type="dxa"/>
            <w:gridSpan w:val="3"/>
            <w:noWrap w:val="0"/>
            <w:vAlign w:val="center"/>
          </w:tcPr>
          <w:p w14:paraId="4C5F772A">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本工程排污许可证编号</w:t>
            </w:r>
          </w:p>
        </w:tc>
        <w:tc>
          <w:tcPr>
            <w:tcW w:w="2835" w:type="dxa"/>
            <w:gridSpan w:val="4"/>
            <w:noWrap w:val="0"/>
            <w:vAlign w:val="center"/>
          </w:tcPr>
          <w:p w14:paraId="345E7B20">
            <w:pPr>
              <w:pStyle w:val="70"/>
              <w:spacing w:line="240" w:lineRule="exact"/>
              <w:rPr>
                <w:rFonts w:hint="default" w:ascii="Times New Roman" w:hAnsi="Times New Roman" w:cs="Times New Roman"/>
                <w:color w:val="auto"/>
                <w:lang w:val="en-US"/>
              </w:rPr>
            </w:pPr>
            <w:r>
              <w:rPr>
                <w:rFonts w:hint="eastAsia" w:ascii="Times New Roman" w:hAnsi="Times New Roman" w:eastAsia="宋体" w:cs="Times New Roman"/>
                <w:color w:val="FF0000"/>
                <w:kern w:val="0"/>
                <w:szCs w:val="21"/>
                <w:lang w:val="en-US" w:eastAsia="zh-CN" w:bidi="ar"/>
              </w:rPr>
              <w:t>11510722008467545E</w:t>
            </w:r>
            <w:r>
              <w:rPr>
                <w:rFonts w:hint="eastAsia" w:cs="Times New Roman"/>
                <w:color w:val="FF0000"/>
                <w:kern w:val="0"/>
                <w:szCs w:val="21"/>
                <w:lang w:val="en-US" w:eastAsia="zh-CN" w:bidi="ar"/>
              </w:rPr>
              <w:t>002U</w:t>
            </w:r>
          </w:p>
        </w:tc>
      </w:tr>
      <w:tr w14:paraId="5808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exact"/>
        </w:trPr>
        <w:tc>
          <w:tcPr>
            <w:tcW w:w="713" w:type="dxa"/>
            <w:vMerge w:val="continue"/>
            <w:noWrap w:val="0"/>
            <w:vAlign w:val="center"/>
          </w:tcPr>
          <w:p w14:paraId="09E9E51C">
            <w:pPr>
              <w:pStyle w:val="70"/>
              <w:spacing w:line="240" w:lineRule="exact"/>
              <w:rPr>
                <w:rFonts w:hint="default" w:ascii="Times New Roman" w:hAnsi="Times New Roman" w:cs="Times New Roman"/>
                <w:color w:val="0000FF"/>
              </w:rPr>
            </w:pPr>
          </w:p>
        </w:tc>
        <w:tc>
          <w:tcPr>
            <w:tcW w:w="1895" w:type="dxa"/>
            <w:gridSpan w:val="2"/>
            <w:noWrap w:val="0"/>
            <w:vAlign w:val="center"/>
          </w:tcPr>
          <w:p w14:paraId="338E1EC1">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验收单位</w:t>
            </w:r>
          </w:p>
        </w:tc>
        <w:tc>
          <w:tcPr>
            <w:tcW w:w="2784" w:type="dxa"/>
            <w:gridSpan w:val="5"/>
            <w:noWrap w:val="0"/>
            <w:vAlign w:val="center"/>
          </w:tcPr>
          <w:p w14:paraId="384CCD10">
            <w:pPr>
              <w:pStyle w:val="70"/>
              <w:spacing w:line="240" w:lineRule="exact"/>
              <w:rPr>
                <w:rFonts w:hint="default" w:ascii="Times New Roman" w:hAnsi="Times New Roman" w:cs="Times New Roman"/>
                <w:color w:val="auto"/>
              </w:rPr>
            </w:pPr>
            <w:r>
              <w:rPr>
                <w:rFonts w:hint="eastAsia" w:cs="Times New Roman"/>
                <w:color w:val="auto"/>
                <w:lang w:eastAsia="zh-CN"/>
              </w:rPr>
              <w:t>广元伟利森环保工程有限公司</w:t>
            </w:r>
          </w:p>
          <w:p w14:paraId="16E87611">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目</w:t>
            </w:r>
          </w:p>
        </w:tc>
        <w:tc>
          <w:tcPr>
            <w:tcW w:w="1984" w:type="dxa"/>
            <w:gridSpan w:val="3"/>
            <w:noWrap w:val="0"/>
            <w:vAlign w:val="center"/>
          </w:tcPr>
          <w:p w14:paraId="219927E7">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环保设施</w:t>
            </w:r>
            <w:r>
              <w:rPr>
                <w:rFonts w:hint="eastAsia" w:ascii="Times New Roman" w:hAnsi="Times New Roman" w:cs="Times New Roman"/>
                <w:color w:val="auto"/>
                <w:lang w:eastAsia="zh-CN"/>
              </w:rPr>
              <w:t>检测</w:t>
            </w:r>
            <w:r>
              <w:rPr>
                <w:rFonts w:hint="default" w:ascii="Times New Roman" w:hAnsi="Times New Roman" w:cs="Times New Roman"/>
                <w:color w:val="auto"/>
              </w:rPr>
              <w:t>单位</w:t>
            </w:r>
          </w:p>
        </w:tc>
        <w:tc>
          <w:tcPr>
            <w:tcW w:w="2977" w:type="dxa"/>
            <w:gridSpan w:val="7"/>
            <w:noWrap w:val="0"/>
            <w:vAlign w:val="center"/>
          </w:tcPr>
          <w:p w14:paraId="642F5BAC">
            <w:pPr>
              <w:pStyle w:val="70"/>
              <w:spacing w:line="240" w:lineRule="exact"/>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四川恒宇环境节能检测有限公司</w:t>
            </w:r>
          </w:p>
        </w:tc>
        <w:tc>
          <w:tcPr>
            <w:tcW w:w="2126" w:type="dxa"/>
            <w:gridSpan w:val="3"/>
            <w:noWrap w:val="0"/>
            <w:vAlign w:val="center"/>
          </w:tcPr>
          <w:p w14:paraId="623218DE">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验收</w:t>
            </w:r>
            <w:r>
              <w:rPr>
                <w:rFonts w:hint="eastAsia" w:ascii="Times New Roman" w:hAnsi="Times New Roman" w:cs="Times New Roman"/>
                <w:color w:val="auto"/>
                <w:lang w:eastAsia="zh-CN"/>
              </w:rPr>
              <w:t>检测</w:t>
            </w:r>
            <w:r>
              <w:rPr>
                <w:rFonts w:hint="default" w:ascii="Times New Roman" w:hAnsi="Times New Roman" w:cs="Times New Roman"/>
                <w:color w:val="auto"/>
              </w:rPr>
              <w:t>时工况</w:t>
            </w:r>
          </w:p>
        </w:tc>
        <w:tc>
          <w:tcPr>
            <w:tcW w:w="2835" w:type="dxa"/>
            <w:gridSpan w:val="4"/>
            <w:noWrap w:val="0"/>
            <w:vAlign w:val="center"/>
          </w:tcPr>
          <w:p w14:paraId="6D54F96D">
            <w:pPr>
              <w:pStyle w:val="70"/>
              <w:spacing w:line="240" w:lineRule="exact"/>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w:t>
            </w:r>
          </w:p>
        </w:tc>
      </w:tr>
      <w:tr w14:paraId="03B5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exact"/>
        </w:trPr>
        <w:tc>
          <w:tcPr>
            <w:tcW w:w="713" w:type="dxa"/>
            <w:vMerge w:val="continue"/>
            <w:noWrap w:val="0"/>
            <w:vAlign w:val="center"/>
          </w:tcPr>
          <w:p w14:paraId="709DFB87">
            <w:pPr>
              <w:pStyle w:val="70"/>
              <w:spacing w:line="240" w:lineRule="exact"/>
              <w:rPr>
                <w:rFonts w:hint="default" w:ascii="Times New Roman" w:hAnsi="Times New Roman" w:cs="Times New Roman"/>
                <w:color w:val="0000FF"/>
              </w:rPr>
            </w:pPr>
          </w:p>
        </w:tc>
        <w:tc>
          <w:tcPr>
            <w:tcW w:w="1895" w:type="dxa"/>
            <w:gridSpan w:val="2"/>
            <w:noWrap w:val="0"/>
            <w:vAlign w:val="center"/>
          </w:tcPr>
          <w:p w14:paraId="05586C2D">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投资总概算（万元）</w:t>
            </w:r>
          </w:p>
        </w:tc>
        <w:tc>
          <w:tcPr>
            <w:tcW w:w="2784" w:type="dxa"/>
            <w:gridSpan w:val="5"/>
            <w:noWrap w:val="0"/>
            <w:vAlign w:val="center"/>
          </w:tcPr>
          <w:p w14:paraId="1E234A8D">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1281</w:t>
            </w:r>
          </w:p>
        </w:tc>
        <w:tc>
          <w:tcPr>
            <w:tcW w:w="1984" w:type="dxa"/>
            <w:gridSpan w:val="3"/>
            <w:noWrap w:val="0"/>
            <w:vAlign w:val="center"/>
          </w:tcPr>
          <w:p w14:paraId="0C92402C">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环保投资总概算（万元）</w:t>
            </w:r>
          </w:p>
        </w:tc>
        <w:tc>
          <w:tcPr>
            <w:tcW w:w="2977" w:type="dxa"/>
            <w:gridSpan w:val="7"/>
            <w:noWrap w:val="0"/>
            <w:vAlign w:val="center"/>
          </w:tcPr>
          <w:p w14:paraId="50B1728C">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89</w:t>
            </w:r>
          </w:p>
        </w:tc>
        <w:tc>
          <w:tcPr>
            <w:tcW w:w="2126" w:type="dxa"/>
            <w:gridSpan w:val="3"/>
            <w:noWrap w:val="0"/>
            <w:vAlign w:val="center"/>
          </w:tcPr>
          <w:p w14:paraId="44457B5F">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所占比例（%）</w:t>
            </w:r>
          </w:p>
        </w:tc>
        <w:tc>
          <w:tcPr>
            <w:tcW w:w="2835" w:type="dxa"/>
            <w:gridSpan w:val="4"/>
            <w:noWrap w:val="0"/>
            <w:vAlign w:val="center"/>
          </w:tcPr>
          <w:p w14:paraId="517D03D9">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6.95</w:t>
            </w:r>
            <w:r>
              <w:rPr>
                <w:rFonts w:hint="eastAsia" w:ascii="Times New Roman" w:hAnsi="Times New Roman" w:cs="Times New Roman"/>
                <w:color w:val="auto"/>
                <w:lang w:val="en-US" w:eastAsia="zh-CN"/>
              </w:rPr>
              <w:t xml:space="preserve"> %</w:t>
            </w:r>
          </w:p>
        </w:tc>
      </w:tr>
      <w:tr w14:paraId="4DCD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exact"/>
        </w:trPr>
        <w:tc>
          <w:tcPr>
            <w:tcW w:w="713" w:type="dxa"/>
            <w:vMerge w:val="continue"/>
            <w:noWrap w:val="0"/>
            <w:vAlign w:val="center"/>
          </w:tcPr>
          <w:p w14:paraId="0BF62DDE">
            <w:pPr>
              <w:pStyle w:val="70"/>
              <w:spacing w:line="240" w:lineRule="exact"/>
              <w:rPr>
                <w:rFonts w:hint="default" w:ascii="Times New Roman" w:hAnsi="Times New Roman" w:cs="Times New Roman"/>
                <w:color w:val="0000FF"/>
              </w:rPr>
            </w:pPr>
          </w:p>
        </w:tc>
        <w:tc>
          <w:tcPr>
            <w:tcW w:w="1895" w:type="dxa"/>
            <w:gridSpan w:val="2"/>
            <w:noWrap w:val="0"/>
            <w:vAlign w:val="center"/>
          </w:tcPr>
          <w:p w14:paraId="34FAD0EF">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实际总投资</w:t>
            </w:r>
          </w:p>
        </w:tc>
        <w:tc>
          <w:tcPr>
            <w:tcW w:w="2784" w:type="dxa"/>
            <w:gridSpan w:val="5"/>
            <w:noWrap w:val="0"/>
            <w:vAlign w:val="center"/>
          </w:tcPr>
          <w:p w14:paraId="004D7D89">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1280</w:t>
            </w:r>
          </w:p>
        </w:tc>
        <w:tc>
          <w:tcPr>
            <w:tcW w:w="1984" w:type="dxa"/>
            <w:gridSpan w:val="3"/>
            <w:noWrap w:val="0"/>
            <w:vAlign w:val="center"/>
          </w:tcPr>
          <w:p w14:paraId="30B8EC22">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环保投资（万元）</w:t>
            </w:r>
          </w:p>
        </w:tc>
        <w:tc>
          <w:tcPr>
            <w:tcW w:w="2977" w:type="dxa"/>
            <w:gridSpan w:val="7"/>
            <w:noWrap w:val="0"/>
            <w:vAlign w:val="center"/>
          </w:tcPr>
          <w:p w14:paraId="20B30E29">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87</w:t>
            </w:r>
          </w:p>
        </w:tc>
        <w:tc>
          <w:tcPr>
            <w:tcW w:w="2126" w:type="dxa"/>
            <w:gridSpan w:val="3"/>
            <w:noWrap w:val="0"/>
            <w:vAlign w:val="center"/>
          </w:tcPr>
          <w:p w14:paraId="0BC0D5CC">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所占比例（%）</w:t>
            </w:r>
          </w:p>
        </w:tc>
        <w:tc>
          <w:tcPr>
            <w:tcW w:w="2835" w:type="dxa"/>
            <w:gridSpan w:val="4"/>
            <w:noWrap w:val="0"/>
            <w:vAlign w:val="center"/>
          </w:tcPr>
          <w:p w14:paraId="455BDC34">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6.80</w:t>
            </w:r>
            <w:r>
              <w:rPr>
                <w:rFonts w:hint="eastAsia" w:ascii="Times New Roman" w:hAnsi="Times New Roman" w:cs="Times New Roman"/>
                <w:color w:val="auto"/>
                <w:highlight w:val="none"/>
                <w:lang w:val="en-US" w:eastAsia="zh-CN"/>
              </w:rPr>
              <w:t>%</w:t>
            </w:r>
          </w:p>
        </w:tc>
      </w:tr>
      <w:tr w14:paraId="23E1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exact"/>
        </w:trPr>
        <w:tc>
          <w:tcPr>
            <w:tcW w:w="713" w:type="dxa"/>
            <w:vMerge w:val="continue"/>
            <w:noWrap w:val="0"/>
            <w:vAlign w:val="center"/>
          </w:tcPr>
          <w:p w14:paraId="1F167813">
            <w:pPr>
              <w:pStyle w:val="70"/>
              <w:spacing w:line="240" w:lineRule="exact"/>
              <w:rPr>
                <w:rFonts w:hint="default" w:ascii="Times New Roman" w:hAnsi="Times New Roman" w:cs="Times New Roman"/>
                <w:color w:val="0000FF"/>
              </w:rPr>
            </w:pPr>
          </w:p>
        </w:tc>
        <w:tc>
          <w:tcPr>
            <w:tcW w:w="1895" w:type="dxa"/>
            <w:gridSpan w:val="2"/>
            <w:noWrap w:val="0"/>
            <w:vAlign w:val="center"/>
          </w:tcPr>
          <w:p w14:paraId="2A003D76">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废水治理（万元）</w:t>
            </w:r>
          </w:p>
        </w:tc>
        <w:tc>
          <w:tcPr>
            <w:tcW w:w="799" w:type="dxa"/>
            <w:gridSpan w:val="2"/>
            <w:noWrap w:val="0"/>
            <w:vAlign w:val="center"/>
          </w:tcPr>
          <w:p w14:paraId="5F13E451">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21</w:t>
            </w:r>
          </w:p>
        </w:tc>
        <w:tc>
          <w:tcPr>
            <w:tcW w:w="1418" w:type="dxa"/>
            <w:gridSpan w:val="2"/>
            <w:noWrap w:val="0"/>
            <w:vAlign w:val="center"/>
          </w:tcPr>
          <w:p w14:paraId="1C392F2D">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废气治理（万元）</w:t>
            </w:r>
          </w:p>
        </w:tc>
        <w:tc>
          <w:tcPr>
            <w:tcW w:w="567" w:type="dxa"/>
            <w:noWrap w:val="0"/>
            <w:vAlign w:val="center"/>
          </w:tcPr>
          <w:p w14:paraId="5C425A29">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51</w:t>
            </w:r>
          </w:p>
        </w:tc>
        <w:tc>
          <w:tcPr>
            <w:tcW w:w="1984" w:type="dxa"/>
            <w:gridSpan w:val="3"/>
            <w:noWrap w:val="0"/>
            <w:vAlign w:val="center"/>
          </w:tcPr>
          <w:p w14:paraId="0787D531">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噪声治理（万元）</w:t>
            </w:r>
          </w:p>
        </w:tc>
        <w:tc>
          <w:tcPr>
            <w:tcW w:w="567" w:type="dxa"/>
            <w:gridSpan w:val="2"/>
            <w:noWrap w:val="0"/>
            <w:vAlign w:val="center"/>
          </w:tcPr>
          <w:p w14:paraId="385C58C1">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w:t>
            </w:r>
          </w:p>
        </w:tc>
        <w:tc>
          <w:tcPr>
            <w:tcW w:w="1843" w:type="dxa"/>
            <w:gridSpan w:val="2"/>
            <w:noWrap w:val="0"/>
            <w:vAlign w:val="center"/>
          </w:tcPr>
          <w:p w14:paraId="04B72F0A">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固体废物治理（万元）</w:t>
            </w:r>
          </w:p>
        </w:tc>
        <w:tc>
          <w:tcPr>
            <w:tcW w:w="567" w:type="dxa"/>
            <w:gridSpan w:val="3"/>
            <w:noWrap w:val="0"/>
            <w:vAlign w:val="center"/>
          </w:tcPr>
          <w:p w14:paraId="68817442">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w:t>
            </w:r>
          </w:p>
        </w:tc>
        <w:tc>
          <w:tcPr>
            <w:tcW w:w="1533" w:type="dxa"/>
            <w:gridSpan w:val="2"/>
            <w:noWrap w:val="0"/>
            <w:vAlign w:val="center"/>
          </w:tcPr>
          <w:p w14:paraId="1B698FCB">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地下水</w:t>
            </w:r>
            <w:r>
              <w:rPr>
                <w:rFonts w:hint="default" w:ascii="Times New Roman" w:hAnsi="Times New Roman" w:cs="Times New Roman"/>
                <w:color w:val="auto"/>
                <w:highlight w:val="none"/>
              </w:rPr>
              <w:t>（万元）</w:t>
            </w:r>
          </w:p>
        </w:tc>
        <w:tc>
          <w:tcPr>
            <w:tcW w:w="593" w:type="dxa"/>
            <w:noWrap w:val="0"/>
            <w:vAlign w:val="center"/>
          </w:tcPr>
          <w:p w14:paraId="40379E34">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1470" w:type="dxa"/>
            <w:gridSpan w:val="2"/>
            <w:noWrap w:val="0"/>
            <w:vAlign w:val="center"/>
          </w:tcPr>
          <w:p w14:paraId="1E0EA0D0">
            <w:pPr>
              <w:pStyle w:val="70"/>
              <w:spacing w:line="24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其他（万元）</w:t>
            </w:r>
          </w:p>
        </w:tc>
        <w:tc>
          <w:tcPr>
            <w:tcW w:w="1365" w:type="dxa"/>
            <w:gridSpan w:val="2"/>
            <w:noWrap w:val="0"/>
            <w:vAlign w:val="center"/>
          </w:tcPr>
          <w:p w14:paraId="62D2F395">
            <w:pPr>
              <w:pStyle w:val="70"/>
              <w:spacing w:line="240" w:lineRule="exact"/>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w:t>
            </w:r>
          </w:p>
        </w:tc>
      </w:tr>
      <w:tr w14:paraId="3402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exact"/>
        </w:trPr>
        <w:tc>
          <w:tcPr>
            <w:tcW w:w="713" w:type="dxa"/>
            <w:vMerge w:val="continue"/>
            <w:noWrap w:val="0"/>
            <w:vAlign w:val="center"/>
          </w:tcPr>
          <w:p w14:paraId="5741F0C5">
            <w:pPr>
              <w:pStyle w:val="70"/>
              <w:spacing w:line="240" w:lineRule="exact"/>
              <w:rPr>
                <w:rFonts w:hint="default" w:ascii="Times New Roman" w:hAnsi="Times New Roman" w:cs="Times New Roman"/>
                <w:color w:val="0000FF"/>
              </w:rPr>
            </w:pPr>
          </w:p>
        </w:tc>
        <w:tc>
          <w:tcPr>
            <w:tcW w:w="1895" w:type="dxa"/>
            <w:gridSpan w:val="2"/>
            <w:noWrap w:val="0"/>
            <w:vAlign w:val="center"/>
          </w:tcPr>
          <w:p w14:paraId="2794D6C0">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新增废水处理设施能力</w:t>
            </w:r>
          </w:p>
        </w:tc>
        <w:tc>
          <w:tcPr>
            <w:tcW w:w="2784" w:type="dxa"/>
            <w:gridSpan w:val="5"/>
            <w:noWrap w:val="0"/>
            <w:vAlign w:val="center"/>
          </w:tcPr>
          <w:p w14:paraId="0816E332">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w:t>
            </w:r>
          </w:p>
        </w:tc>
        <w:tc>
          <w:tcPr>
            <w:tcW w:w="1984" w:type="dxa"/>
            <w:gridSpan w:val="3"/>
            <w:noWrap w:val="0"/>
            <w:vAlign w:val="center"/>
          </w:tcPr>
          <w:p w14:paraId="2DE0D20E">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新增废气处理设施能力</w:t>
            </w:r>
          </w:p>
        </w:tc>
        <w:tc>
          <w:tcPr>
            <w:tcW w:w="2977" w:type="dxa"/>
            <w:gridSpan w:val="7"/>
            <w:noWrap w:val="0"/>
            <w:vAlign w:val="center"/>
          </w:tcPr>
          <w:p w14:paraId="5294C003">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w:t>
            </w:r>
          </w:p>
        </w:tc>
        <w:tc>
          <w:tcPr>
            <w:tcW w:w="2126" w:type="dxa"/>
            <w:gridSpan w:val="3"/>
            <w:noWrap w:val="0"/>
            <w:vAlign w:val="center"/>
          </w:tcPr>
          <w:p w14:paraId="7B73D1F5">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年平均工作时间</w:t>
            </w:r>
          </w:p>
        </w:tc>
        <w:tc>
          <w:tcPr>
            <w:tcW w:w="2835" w:type="dxa"/>
            <w:gridSpan w:val="4"/>
            <w:noWrap w:val="0"/>
            <w:vAlign w:val="center"/>
          </w:tcPr>
          <w:p w14:paraId="08FE5811">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w:t>
            </w:r>
          </w:p>
        </w:tc>
      </w:tr>
      <w:tr w14:paraId="4237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exact"/>
        </w:trPr>
        <w:tc>
          <w:tcPr>
            <w:tcW w:w="713" w:type="dxa"/>
            <w:vMerge w:val="continue"/>
            <w:noWrap w:val="0"/>
            <w:vAlign w:val="center"/>
          </w:tcPr>
          <w:p w14:paraId="587B498D">
            <w:pPr>
              <w:pStyle w:val="70"/>
              <w:spacing w:line="240" w:lineRule="exact"/>
              <w:rPr>
                <w:rFonts w:hint="default" w:ascii="Times New Roman" w:hAnsi="Times New Roman" w:cs="Times New Roman"/>
                <w:color w:val="0000FF"/>
              </w:rPr>
            </w:pPr>
          </w:p>
        </w:tc>
        <w:tc>
          <w:tcPr>
            <w:tcW w:w="1895" w:type="dxa"/>
            <w:gridSpan w:val="2"/>
            <w:noWrap w:val="0"/>
            <w:vAlign w:val="center"/>
          </w:tcPr>
          <w:p w14:paraId="25057DAB">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运营单位</w:t>
            </w:r>
          </w:p>
        </w:tc>
        <w:tc>
          <w:tcPr>
            <w:tcW w:w="2784" w:type="dxa"/>
            <w:gridSpan w:val="5"/>
            <w:noWrap w:val="0"/>
            <w:vAlign w:val="center"/>
          </w:tcPr>
          <w:p w14:paraId="1B6EB75B">
            <w:pPr>
              <w:pStyle w:val="70"/>
              <w:spacing w:line="240" w:lineRule="exact"/>
              <w:rPr>
                <w:rFonts w:hint="default" w:ascii="Times New Roman" w:hAnsi="Times New Roman" w:eastAsia="宋体" w:cs="Times New Roman"/>
                <w:color w:val="auto"/>
                <w:lang w:eastAsia="zh-CN"/>
              </w:rPr>
            </w:pPr>
            <w:r>
              <w:rPr>
                <w:rFonts w:hint="eastAsia" w:cs="Times New Roman"/>
                <w:color w:val="auto"/>
                <w:lang w:eastAsia="zh-CN"/>
              </w:rPr>
              <w:t>广元伟利森环保工程有限公司</w:t>
            </w:r>
            <w:r>
              <w:rPr>
                <w:rFonts w:hint="eastAsia" w:ascii="Times New Roman" w:hAnsi="Times New Roman" w:cs="Times New Roman"/>
                <w:color w:val="auto"/>
                <w:lang w:eastAsia="zh-CN"/>
              </w:rPr>
              <w:t>公司</w:t>
            </w:r>
          </w:p>
          <w:p w14:paraId="2059CF14">
            <w:pPr>
              <w:pStyle w:val="70"/>
              <w:spacing w:line="240" w:lineRule="exact"/>
              <w:rPr>
                <w:rFonts w:hint="default" w:ascii="Times New Roman" w:hAnsi="Times New Roman" w:cs="Times New Roman"/>
                <w:color w:val="auto"/>
              </w:rPr>
            </w:pPr>
          </w:p>
        </w:tc>
        <w:tc>
          <w:tcPr>
            <w:tcW w:w="3678" w:type="dxa"/>
            <w:gridSpan w:val="6"/>
            <w:noWrap w:val="0"/>
            <w:vAlign w:val="center"/>
          </w:tcPr>
          <w:p w14:paraId="67E54171">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运营单位社会统一信用代码（或组织机构代码）</w:t>
            </w:r>
          </w:p>
        </w:tc>
        <w:tc>
          <w:tcPr>
            <w:tcW w:w="2179" w:type="dxa"/>
            <w:gridSpan w:val="5"/>
            <w:noWrap w:val="0"/>
            <w:vAlign w:val="center"/>
          </w:tcPr>
          <w:p w14:paraId="66051510">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91510822MAC678TA09</w:t>
            </w:r>
          </w:p>
        </w:tc>
        <w:tc>
          <w:tcPr>
            <w:tcW w:w="1230" w:type="dxa"/>
            <w:gridSpan w:val="2"/>
            <w:noWrap w:val="0"/>
            <w:vAlign w:val="center"/>
          </w:tcPr>
          <w:p w14:paraId="4D32BDEA">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验收时间</w:t>
            </w:r>
          </w:p>
        </w:tc>
        <w:tc>
          <w:tcPr>
            <w:tcW w:w="2835" w:type="dxa"/>
            <w:gridSpan w:val="4"/>
            <w:noWrap w:val="0"/>
            <w:vAlign w:val="center"/>
          </w:tcPr>
          <w:p w14:paraId="0AC1FA00">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2026.6.1-2026.6.2</w:t>
            </w:r>
          </w:p>
        </w:tc>
      </w:tr>
      <w:tr w14:paraId="1261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2" w:hRule="exact"/>
        </w:trPr>
        <w:tc>
          <w:tcPr>
            <w:tcW w:w="713" w:type="dxa"/>
            <w:vMerge w:val="restart"/>
            <w:noWrap w:val="0"/>
            <w:vAlign w:val="center"/>
          </w:tcPr>
          <w:p w14:paraId="74301CC9">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污染物排放达标与总量控制（工业建设项目详填）</w:t>
            </w:r>
          </w:p>
        </w:tc>
        <w:tc>
          <w:tcPr>
            <w:tcW w:w="1895" w:type="dxa"/>
            <w:gridSpan w:val="2"/>
            <w:noWrap w:val="0"/>
            <w:vAlign w:val="center"/>
          </w:tcPr>
          <w:p w14:paraId="2DA4FE2D">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污染物</w:t>
            </w:r>
          </w:p>
        </w:tc>
        <w:tc>
          <w:tcPr>
            <w:tcW w:w="777" w:type="dxa"/>
            <w:noWrap w:val="0"/>
            <w:vAlign w:val="center"/>
          </w:tcPr>
          <w:p w14:paraId="641A1AE4">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原有排放量（1）</w:t>
            </w:r>
          </w:p>
        </w:tc>
        <w:tc>
          <w:tcPr>
            <w:tcW w:w="1095" w:type="dxa"/>
            <w:gridSpan w:val="2"/>
            <w:noWrap w:val="0"/>
            <w:vAlign w:val="center"/>
          </w:tcPr>
          <w:p w14:paraId="7A59985D">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本期工程实际排放浓度（2）</w:t>
            </w:r>
          </w:p>
        </w:tc>
        <w:tc>
          <w:tcPr>
            <w:tcW w:w="1231" w:type="dxa"/>
            <w:gridSpan w:val="3"/>
            <w:noWrap w:val="0"/>
            <w:vAlign w:val="center"/>
          </w:tcPr>
          <w:p w14:paraId="603CAA46">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本期工程允许排放浓度（3）</w:t>
            </w:r>
          </w:p>
        </w:tc>
        <w:tc>
          <w:tcPr>
            <w:tcW w:w="952" w:type="dxa"/>
            <w:noWrap w:val="0"/>
            <w:vAlign w:val="center"/>
          </w:tcPr>
          <w:p w14:paraId="00FD7585">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本期工程产生量（4）</w:t>
            </w:r>
          </w:p>
        </w:tc>
        <w:tc>
          <w:tcPr>
            <w:tcW w:w="1139" w:type="dxa"/>
            <w:gridSpan w:val="2"/>
            <w:noWrap w:val="0"/>
            <w:vAlign w:val="center"/>
          </w:tcPr>
          <w:p w14:paraId="68A9578F">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本期工程自身消减量（5）</w:t>
            </w:r>
          </w:p>
        </w:tc>
        <w:tc>
          <w:tcPr>
            <w:tcW w:w="1268" w:type="dxa"/>
            <w:gridSpan w:val="2"/>
            <w:noWrap w:val="0"/>
            <w:vAlign w:val="center"/>
          </w:tcPr>
          <w:p w14:paraId="51EE6F29">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本期工程实际排放量（6）</w:t>
            </w:r>
          </w:p>
        </w:tc>
        <w:tc>
          <w:tcPr>
            <w:tcW w:w="939" w:type="dxa"/>
            <w:gridSpan w:val="2"/>
            <w:noWrap w:val="0"/>
            <w:vAlign w:val="center"/>
          </w:tcPr>
          <w:p w14:paraId="35003218">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本期工程核定排放总量（7）</w:t>
            </w:r>
          </w:p>
        </w:tc>
        <w:tc>
          <w:tcPr>
            <w:tcW w:w="1240" w:type="dxa"/>
            <w:gridSpan w:val="3"/>
            <w:noWrap w:val="0"/>
            <w:vAlign w:val="center"/>
          </w:tcPr>
          <w:p w14:paraId="6495D937">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本工程</w:t>
            </w:r>
            <w:r>
              <w:rPr>
                <w:rFonts w:hint="eastAsia" w:ascii="Times New Roman" w:hAnsi="Times New Roman" w:cs="Times New Roman"/>
                <w:color w:val="auto"/>
                <w:lang w:eastAsia="zh-CN"/>
              </w:rPr>
              <w:t>“</w:t>
            </w:r>
            <w:r>
              <w:rPr>
                <w:rFonts w:hint="default" w:ascii="Times New Roman" w:hAnsi="Times New Roman" w:cs="Times New Roman"/>
                <w:color w:val="auto"/>
              </w:rPr>
              <w:t>以新带老</w:t>
            </w:r>
            <w:r>
              <w:rPr>
                <w:rFonts w:hint="eastAsia" w:ascii="Times New Roman" w:hAnsi="Times New Roman" w:cs="Times New Roman"/>
                <w:color w:val="auto"/>
                <w:lang w:eastAsia="zh-CN"/>
              </w:rPr>
              <w:t>”</w:t>
            </w:r>
            <w:r>
              <w:rPr>
                <w:rFonts w:hint="default" w:ascii="Times New Roman" w:hAnsi="Times New Roman" w:cs="Times New Roman"/>
                <w:color w:val="auto"/>
              </w:rPr>
              <w:t>消减量（8）</w:t>
            </w:r>
          </w:p>
        </w:tc>
        <w:tc>
          <w:tcPr>
            <w:tcW w:w="1230" w:type="dxa"/>
            <w:gridSpan w:val="2"/>
            <w:noWrap w:val="0"/>
            <w:vAlign w:val="center"/>
          </w:tcPr>
          <w:p w14:paraId="2546A3C3">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全厂实际排放量（9）</w:t>
            </w:r>
          </w:p>
        </w:tc>
        <w:tc>
          <w:tcPr>
            <w:tcW w:w="848" w:type="dxa"/>
            <w:noWrap w:val="0"/>
            <w:vAlign w:val="center"/>
          </w:tcPr>
          <w:p w14:paraId="0ACAAAF7">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全厂核定排放总量（10）</w:t>
            </w:r>
          </w:p>
        </w:tc>
        <w:tc>
          <w:tcPr>
            <w:tcW w:w="1096" w:type="dxa"/>
            <w:gridSpan w:val="2"/>
            <w:noWrap w:val="0"/>
            <w:vAlign w:val="center"/>
          </w:tcPr>
          <w:p w14:paraId="595064AE">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区域平衡替代消减量（11）</w:t>
            </w:r>
          </w:p>
        </w:tc>
        <w:tc>
          <w:tcPr>
            <w:tcW w:w="891" w:type="dxa"/>
            <w:noWrap w:val="0"/>
            <w:vAlign w:val="center"/>
          </w:tcPr>
          <w:p w14:paraId="36980D83">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排放增减量（12）</w:t>
            </w:r>
          </w:p>
        </w:tc>
      </w:tr>
      <w:tr w14:paraId="0C4D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5" w:hRule="exact"/>
        </w:trPr>
        <w:tc>
          <w:tcPr>
            <w:tcW w:w="713" w:type="dxa"/>
            <w:vMerge w:val="continue"/>
            <w:noWrap w:val="0"/>
            <w:vAlign w:val="center"/>
          </w:tcPr>
          <w:p w14:paraId="07A97902">
            <w:pPr>
              <w:pStyle w:val="70"/>
              <w:spacing w:line="240" w:lineRule="exact"/>
              <w:rPr>
                <w:rFonts w:hint="default" w:ascii="Times New Roman" w:hAnsi="Times New Roman" w:cs="Times New Roman"/>
                <w:color w:val="auto"/>
              </w:rPr>
            </w:pPr>
          </w:p>
        </w:tc>
        <w:tc>
          <w:tcPr>
            <w:tcW w:w="1895" w:type="dxa"/>
            <w:gridSpan w:val="2"/>
            <w:noWrap w:val="0"/>
            <w:vAlign w:val="center"/>
          </w:tcPr>
          <w:p w14:paraId="3050DA0E">
            <w:pPr>
              <w:pStyle w:val="70"/>
              <w:spacing w:line="240" w:lineRule="exact"/>
              <w:rPr>
                <w:rFonts w:hint="eastAsia" w:ascii="Times New Roman" w:hAnsi="Times New Roman" w:eastAsia="宋体" w:cs="Times New Roman"/>
                <w:color w:val="auto"/>
                <w:lang w:eastAsia="zh-CN"/>
              </w:rPr>
            </w:pPr>
            <w:r>
              <w:rPr>
                <w:rFonts w:hint="eastAsia" w:cs="Times New Roman"/>
                <w:color w:val="auto"/>
                <w:lang w:eastAsia="zh-CN"/>
              </w:rPr>
              <w:t>废水</w:t>
            </w:r>
          </w:p>
        </w:tc>
        <w:tc>
          <w:tcPr>
            <w:tcW w:w="777" w:type="dxa"/>
            <w:noWrap w:val="0"/>
            <w:vAlign w:val="center"/>
          </w:tcPr>
          <w:p w14:paraId="7153B8D5">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1095" w:type="dxa"/>
            <w:gridSpan w:val="2"/>
            <w:noWrap w:val="0"/>
            <w:vAlign w:val="center"/>
          </w:tcPr>
          <w:p w14:paraId="613933A6">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31" w:type="dxa"/>
            <w:gridSpan w:val="3"/>
            <w:noWrap w:val="0"/>
            <w:vAlign w:val="center"/>
          </w:tcPr>
          <w:p w14:paraId="2B2DAA0C">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952" w:type="dxa"/>
            <w:noWrap w:val="0"/>
            <w:vAlign w:val="center"/>
          </w:tcPr>
          <w:p w14:paraId="4DAE4EDE">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139" w:type="dxa"/>
            <w:gridSpan w:val="2"/>
            <w:noWrap w:val="0"/>
            <w:vAlign w:val="center"/>
          </w:tcPr>
          <w:p w14:paraId="0153633C">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68" w:type="dxa"/>
            <w:gridSpan w:val="2"/>
            <w:noWrap w:val="0"/>
            <w:vAlign w:val="center"/>
          </w:tcPr>
          <w:p w14:paraId="69B430D8">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939" w:type="dxa"/>
            <w:gridSpan w:val="2"/>
            <w:noWrap w:val="0"/>
            <w:vAlign w:val="center"/>
          </w:tcPr>
          <w:p w14:paraId="2A295FD6">
            <w:pPr>
              <w:pStyle w:val="70"/>
              <w:spacing w:line="240" w:lineRule="exact"/>
              <w:rPr>
                <w:rFonts w:hint="default" w:ascii="Times New Roman" w:hAnsi="Times New Roman" w:cs="Times New Roman"/>
                <w:color w:val="auto"/>
              </w:rPr>
            </w:pPr>
          </w:p>
        </w:tc>
        <w:tc>
          <w:tcPr>
            <w:tcW w:w="1240" w:type="dxa"/>
            <w:gridSpan w:val="3"/>
            <w:noWrap w:val="0"/>
            <w:vAlign w:val="center"/>
          </w:tcPr>
          <w:p w14:paraId="2E802946">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30" w:type="dxa"/>
            <w:gridSpan w:val="2"/>
            <w:noWrap w:val="0"/>
            <w:vAlign w:val="center"/>
          </w:tcPr>
          <w:p w14:paraId="37B5FDBA">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848" w:type="dxa"/>
            <w:noWrap w:val="0"/>
            <w:vAlign w:val="center"/>
          </w:tcPr>
          <w:p w14:paraId="7C8AFC8C">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096" w:type="dxa"/>
            <w:gridSpan w:val="2"/>
            <w:noWrap w:val="0"/>
            <w:vAlign w:val="center"/>
          </w:tcPr>
          <w:p w14:paraId="0B55B4E3">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891" w:type="dxa"/>
            <w:noWrap w:val="0"/>
            <w:vAlign w:val="center"/>
          </w:tcPr>
          <w:p w14:paraId="46EA8976">
            <w:pPr>
              <w:pStyle w:val="70"/>
              <w:spacing w:line="240" w:lineRule="exact"/>
              <w:jc w:val="center"/>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3ED5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5" w:hRule="exact"/>
        </w:trPr>
        <w:tc>
          <w:tcPr>
            <w:tcW w:w="713" w:type="dxa"/>
            <w:vMerge w:val="continue"/>
            <w:noWrap w:val="0"/>
            <w:vAlign w:val="center"/>
          </w:tcPr>
          <w:p w14:paraId="6F9F8B50">
            <w:pPr>
              <w:pStyle w:val="70"/>
              <w:spacing w:line="240" w:lineRule="exact"/>
              <w:rPr>
                <w:rFonts w:hint="default" w:ascii="Times New Roman" w:hAnsi="Times New Roman" w:cs="Times New Roman"/>
                <w:color w:val="auto"/>
              </w:rPr>
            </w:pPr>
          </w:p>
        </w:tc>
        <w:tc>
          <w:tcPr>
            <w:tcW w:w="1895" w:type="dxa"/>
            <w:gridSpan w:val="2"/>
            <w:noWrap w:val="0"/>
            <w:vAlign w:val="center"/>
          </w:tcPr>
          <w:p w14:paraId="0F2CD95E">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COD</w:t>
            </w:r>
          </w:p>
        </w:tc>
        <w:tc>
          <w:tcPr>
            <w:tcW w:w="777" w:type="dxa"/>
            <w:noWrap w:val="0"/>
            <w:vAlign w:val="center"/>
          </w:tcPr>
          <w:p w14:paraId="36F0F2E3">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095" w:type="dxa"/>
            <w:gridSpan w:val="2"/>
            <w:noWrap w:val="0"/>
            <w:vAlign w:val="center"/>
          </w:tcPr>
          <w:p w14:paraId="3377D615">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31" w:type="dxa"/>
            <w:gridSpan w:val="3"/>
            <w:noWrap w:val="0"/>
            <w:vAlign w:val="center"/>
          </w:tcPr>
          <w:p w14:paraId="229A26A0">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952" w:type="dxa"/>
            <w:noWrap w:val="0"/>
            <w:vAlign w:val="center"/>
          </w:tcPr>
          <w:p w14:paraId="43411B94">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139" w:type="dxa"/>
            <w:gridSpan w:val="2"/>
            <w:noWrap w:val="0"/>
            <w:vAlign w:val="center"/>
          </w:tcPr>
          <w:p w14:paraId="5BCAC8B0">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68" w:type="dxa"/>
            <w:gridSpan w:val="2"/>
            <w:noWrap w:val="0"/>
            <w:vAlign w:val="center"/>
          </w:tcPr>
          <w:p w14:paraId="7A910FF1">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939" w:type="dxa"/>
            <w:gridSpan w:val="2"/>
            <w:noWrap w:val="0"/>
            <w:vAlign w:val="center"/>
          </w:tcPr>
          <w:p w14:paraId="076BCF5A">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40" w:type="dxa"/>
            <w:gridSpan w:val="3"/>
            <w:noWrap w:val="0"/>
            <w:vAlign w:val="center"/>
          </w:tcPr>
          <w:p w14:paraId="53DA5AAA">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230" w:type="dxa"/>
            <w:gridSpan w:val="2"/>
            <w:noWrap w:val="0"/>
            <w:vAlign w:val="center"/>
          </w:tcPr>
          <w:p w14:paraId="71D9B6EB">
            <w:pPr>
              <w:spacing w:line="240" w:lineRule="exact"/>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848" w:type="dxa"/>
            <w:noWrap w:val="0"/>
            <w:vAlign w:val="center"/>
          </w:tcPr>
          <w:p w14:paraId="68053046">
            <w:pPr>
              <w:spacing w:line="240" w:lineRule="exact"/>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1096" w:type="dxa"/>
            <w:gridSpan w:val="2"/>
            <w:noWrap w:val="0"/>
            <w:vAlign w:val="center"/>
          </w:tcPr>
          <w:p w14:paraId="2F1B2C75">
            <w:pPr>
              <w:pStyle w:val="70"/>
              <w:spacing w:line="240" w:lineRule="exact"/>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891" w:type="dxa"/>
            <w:noWrap w:val="0"/>
            <w:vAlign w:val="center"/>
          </w:tcPr>
          <w:p w14:paraId="6490A55D">
            <w:pPr>
              <w:pStyle w:val="70"/>
              <w:spacing w:line="240" w:lineRule="exact"/>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5532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5" w:hRule="exact"/>
        </w:trPr>
        <w:tc>
          <w:tcPr>
            <w:tcW w:w="713" w:type="dxa"/>
            <w:vMerge w:val="continue"/>
            <w:noWrap w:val="0"/>
            <w:vAlign w:val="center"/>
          </w:tcPr>
          <w:p w14:paraId="7131812B">
            <w:pPr>
              <w:pStyle w:val="70"/>
              <w:spacing w:line="240" w:lineRule="exact"/>
              <w:rPr>
                <w:rFonts w:hint="default" w:ascii="Times New Roman" w:hAnsi="Times New Roman" w:cs="Times New Roman"/>
                <w:color w:val="auto"/>
              </w:rPr>
            </w:pPr>
          </w:p>
        </w:tc>
        <w:tc>
          <w:tcPr>
            <w:tcW w:w="1895" w:type="dxa"/>
            <w:gridSpan w:val="2"/>
            <w:noWrap w:val="0"/>
            <w:vAlign w:val="center"/>
          </w:tcPr>
          <w:p w14:paraId="565D89FC">
            <w:pPr>
              <w:pStyle w:val="70"/>
              <w:spacing w:line="240" w:lineRule="exact"/>
              <w:rPr>
                <w:rFonts w:hint="eastAsia" w:ascii="Times New Roman" w:hAnsi="Times New Roman" w:eastAsia="宋体" w:cs="Times New Roman"/>
                <w:color w:val="auto"/>
                <w:lang w:eastAsia="zh-CN"/>
              </w:rPr>
            </w:pPr>
            <w:r>
              <w:rPr>
                <w:rFonts w:hint="eastAsia" w:cs="Times New Roman"/>
                <w:color w:val="auto"/>
                <w:lang w:eastAsia="zh-CN"/>
              </w:rPr>
              <w:t>氨氮</w:t>
            </w:r>
          </w:p>
        </w:tc>
        <w:tc>
          <w:tcPr>
            <w:tcW w:w="777" w:type="dxa"/>
            <w:noWrap w:val="0"/>
            <w:vAlign w:val="center"/>
          </w:tcPr>
          <w:p w14:paraId="0FC61091">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095" w:type="dxa"/>
            <w:gridSpan w:val="2"/>
            <w:noWrap w:val="0"/>
            <w:vAlign w:val="center"/>
          </w:tcPr>
          <w:p w14:paraId="21735F05">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1" w:type="dxa"/>
            <w:gridSpan w:val="3"/>
            <w:noWrap w:val="0"/>
            <w:vAlign w:val="center"/>
          </w:tcPr>
          <w:p w14:paraId="72B04DDF">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52" w:type="dxa"/>
            <w:noWrap w:val="0"/>
            <w:vAlign w:val="center"/>
          </w:tcPr>
          <w:p w14:paraId="0C240CFF">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139" w:type="dxa"/>
            <w:gridSpan w:val="2"/>
            <w:noWrap w:val="0"/>
            <w:vAlign w:val="center"/>
          </w:tcPr>
          <w:p w14:paraId="6F2FF4DD">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68" w:type="dxa"/>
            <w:gridSpan w:val="2"/>
            <w:noWrap w:val="0"/>
            <w:vAlign w:val="center"/>
          </w:tcPr>
          <w:p w14:paraId="4B79344F">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39" w:type="dxa"/>
            <w:gridSpan w:val="2"/>
            <w:noWrap w:val="0"/>
            <w:vAlign w:val="center"/>
          </w:tcPr>
          <w:p w14:paraId="428CDBCC">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40" w:type="dxa"/>
            <w:gridSpan w:val="3"/>
            <w:noWrap w:val="0"/>
            <w:vAlign w:val="center"/>
          </w:tcPr>
          <w:p w14:paraId="08BEEEF3">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0" w:type="dxa"/>
            <w:gridSpan w:val="2"/>
            <w:noWrap w:val="0"/>
            <w:vAlign w:val="center"/>
          </w:tcPr>
          <w:p w14:paraId="6A4DF2E8">
            <w:pPr>
              <w:spacing w:line="240" w:lineRule="exact"/>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848" w:type="dxa"/>
            <w:noWrap w:val="0"/>
            <w:vAlign w:val="center"/>
          </w:tcPr>
          <w:p w14:paraId="0AFF94D6">
            <w:pPr>
              <w:spacing w:line="240" w:lineRule="exact"/>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c>
          <w:tcPr>
            <w:tcW w:w="1096" w:type="dxa"/>
            <w:gridSpan w:val="2"/>
            <w:noWrap w:val="0"/>
            <w:vAlign w:val="center"/>
          </w:tcPr>
          <w:p w14:paraId="1B388AD6">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891" w:type="dxa"/>
            <w:noWrap w:val="0"/>
            <w:vAlign w:val="center"/>
          </w:tcPr>
          <w:p w14:paraId="031C6E34">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r>
      <w:tr w14:paraId="1941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5" w:hRule="exact"/>
        </w:trPr>
        <w:tc>
          <w:tcPr>
            <w:tcW w:w="713" w:type="dxa"/>
            <w:vMerge w:val="continue"/>
            <w:noWrap w:val="0"/>
            <w:vAlign w:val="center"/>
          </w:tcPr>
          <w:p w14:paraId="6B209452">
            <w:pPr>
              <w:pStyle w:val="70"/>
              <w:spacing w:line="240" w:lineRule="exact"/>
              <w:rPr>
                <w:rFonts w:hint="default" w:ascii="Times New Roman" w:hAnsi="Times New Roman" w:cs="Times New Roman"/>
                <w:color w:val="auto"/>
              </w:rPr>
            </w:pPr>
          </w:p>
        </w:tc>
        <w:tc>
          <w:tcPr>
            <w:tcW w:w="1895" w:type="dxa"/>
            <w:gridSpan w:val="2"/>
            <w:noWrap w:val="0"/>
            <w:vAlign w:val="center"/>
          </w:tcPr>
          <w:p w14:paraId="6ABDED61">
            <w:pPr>
              <w:pStyle w:val="70"/>
              <w:spacing w:line="240" w:lineRule="exact"/>
              <w:rPr>
                <w:rFonts w:hint="eastAsia" w:ascii="Times New Roman" w:hAnsi="Times New Roman" w:eastAsia="宋体" w:cs="Times New Roman"/>
                <w:color w:val="auto"/>
                <w:lang w:eastAsia="zh-CN"/>
              </w:rPr>
            </w:pPr>
            <w:r>
              <w:rPr>
                <w:rFonts w:hint="eastAsia" w:cs="Times New Roman"/>
                <w:color w:val="auto"/>
                <w:lang w:eastAsia="zh-CN"/>
              </w:rPr>
              <w:t>总磷</w:t>
            </w:r>
          </w:p>
        </w:tc>
        <w:tc>
          <w:tcPr>
            <w:tcW w:w="777" w:type="dxa"/>
            <w:noWrap w:val="0"/>
            <w:vAlign w:val="center"/>
          </w:tcPr>
          <w:p w14:paraId="32F480F5">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095" w:type="dxa"/>
            <w:gridSpan w:val="2"/>
            <w:noWrap w:val="0"/>
            <w:vAlign w:val="center"/>
          </w:tcPr>
          <w:p w14:paraId="5CB04627">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1" w:type="dxa"/>
            <w:gridSpan w:val="3"/>
            <w:noWrap w:val="0"/>
            <w:vAlign w:val="center"/>
          </w:tcPr>
          <w:p w14:paraId="3C2AA7FA">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52" w:type="dxa"/>
            <w:noWrap w:val="0"/>
            <w:vAlign w:val="center"/>
          </w:tcPr>
          <w:p w14:paraId="10FF0EB5">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139" w:type="dxa"/>
            <w:gridSpan w:val="2"/>
            <w:noWrap w:val="0"/>
            <w:vAlign w:val="center"/>
          </w:tcPr>
          <w:p w14:paraId="0CAC9E76">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68" w:type="dxa"/>
            <w:gridSpan w:val="2"/>
            <w:noWrap w:val="0"/>
            <w:vAlign w:val="center"/>
          </w:tcPr>
          <w:p w14:paraId="10F0ABA6">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39" w:type="dxa"/>
            <w:gridSpan w:val="2"/>
            <w:noWrap w:val="0"/>
            <w:vAlign w:val="center"/>
          </w:tcPr>
          <w:p w14:paraId="3AF9529F">
            <w:pPr>
              <w:pStyle w:val="70"/>
              <w:spacing w:line="240" w:lineRule="exact"/>
              <w:ind w:firstLine="0" w:firstLineChars="0"/>
              <w:rPr>
                <w:rFonts w:hint="default" w:ascii="Times New Roman" w:hAnsi="Times New Roman" w:cs="Times New Roman"/>
                <w:color w:val="auto"/>
              </w:rPr>
            </w:pPr>
          </w:p>
        </w:tc>
        <w:tc>
          <w:tcPr>
            <w:tcW w:w="1240" w:type="dxa"/>
            <w:gridSpan w:val="3"/>
            <w:noWrap w:val="0"/>
            <w:vAlign w:val="center"/>
          </w:tcPr>
          <w:p w14:paraId="131159D4">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0" w:type="dxa"/>
            <w:gridSpan w:val="2"/>
            <w:noWrap w:val="0"/>
            <w:vAlign w:val="center"/>
          </w:tcPr>
          <w:p w14:paraId="5D5B3B2B">
            <w:pPr>
              <w:spacing w:line="240" w:lineRule="exact"/>
              <w:ind w:firstLine="0" w:firstLineChars="0"/>
              <w:jc w:val="center"/>
              <w:rPr>
                <w:rFonts w:hint="default" w:ascii="Times New Roman" w:hAnsi="Times New Roman" w:cs="Times New Roman"/>
                <w:color w:val="auto"/>
              </w:rPr>
            </w:pPr>
            <w:r>
              <w:rPr>
                <w:rFonts w:hint="eastAsia" w:cs="Times New Roman"/>
                <w:color w:val="auto"/>
                <w:lang w:val="en-US" w:eastAsia="zh-CN"/>
              </w:rPr>
              <w:t>/</w:t>
            </w:r>
          </w:p>
        </w:tc>
        <w:tc>
          <w:tcPr>
            <w:tcW w:w="848" w:type="dxa"/>
            <w:noWrap w:val="0"/>
            <w:vAlign w:val="center"/>
          </w:tcPr>
          <w:p w14:paraId="711F9CF2">
            <w:pPr>
              <w:spacing w:line="240" w:lineRule="exact"/>
              <w:ind w:firstLine="0" w:firstLineChars="0"/>
              <w:jc w:val="center"/>
              <w:rPr>
                <w:rFonts w:hint="default" w:ascii="Times New Roman" w:hAnsi="Times New Roman" w:cs="Times New Roman"/>
                <w:color w:val="auto"/>
              </w:rPr>
            </w:pPr>
            <w:r>
              <w:rPr>
                <w:rFonts w:hint="eastAsia" w:cs="Times New Roman"/>
                <w:color w:val="auto"/>
                <w:lang w:val="en-US" w:eastAsia="zh-CN"/>
              </w:rPr>
              <w:t>/</w:t>
            </w:r>
          </w:p>
        </w:tc>
        <w:tc>
          <w:tcPr>
            <w:tcW w:w="1096" w:type="dxa"/>
            <w:gridSpan w:val="2"/>
            <w:noWrap w:val="0"/>
            <w:vAlign w:val="center"/>
          </w:tcPr>
          <w:p w14:paraId="38D3D2BC">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891" w:type="dxa"/>
            <w:noWrap w:val="0"/>
            <w:vAlign w:val="center"/>
          </w:tcPr>
          <w:p w14:paraId="0F85B2D2">
            <w:pPr>
              <w:pStyle w:val="70"/>
              <w:spacing w:line="240" w:lineRule="exact"/>
              <w:ind w:firstLine="0" w:firstLineChars="0"/>
              <w:jc w:val="center"/>
              <w:rPr>
                <w:rFonts w:hint="default" w:ascii="Times New Roman" w:hAnsi="Times New Roman" w:cs="Times New Roman"/>
                <w:color w:val="auto"/>
              </w:rPr>
            </w:pPr>
            <w:r>
              <w:rPr>
                <w:rFonts w:hint="eastAsia" w:cs="Times New Roman"/>
                <w:color w:val="auto"/>
                <w:lang w:val="en-US" w:eastAsia="zh-CN"/>
              </w:rPr>
              <w:t>/</w:t>
            </w:r>
          </w:p>
        </w:tc>
      </w:tr>
      <w:tr w14:paraId="5E39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5" w:hRule="exact"/>
        </w:trPr>
        <w:tc>
          <w:tcPr>
            <w:tcW w:w="713" w:type="dxa"/>
            <w:vMerge w:val="continue"/>
            <w:noWrap w:val="0"/>
            <w:vAlign w:val="center"/>
          </w:tcPr>
          <w:p w14:paraId="350DAEE3">
            <w:pPr>
              <w:pStyle w:val="70"/>
              <w:spacing w:line="240" w:lineRule="exact"/>
              <w:rPr>
                <w:rFonts w:hint="default" w:ascii="Times New Roman" w:hAnsi="Times New Roman" w:cs="Times New Roman"/>
                <w:color w:val="auto"/>
              </w:rPr>
            </w:pPr>
          </w:p>
        </w:tc>
        <w:tc>
          <w:tcPr>
            <w:tcW w:w="1895" w:type="dxa"/>
            <w:gridSpan w:val="2"/>
            <w:noWrap w:val="0"/>
            <w:vAlign w:val="center"/>
          </w:tcPr>
          <w:p w14:paraId="61954C44">
            <w:pPr>
              <w:pStyle w:val="70"/>
              <w:spacing w:line="240" w:lineRule="exact"/>
              <w:rPr>
                <w:rFonts w:hint="eastAsia" w:cs="Times New Roman"/>
                <w:color w:val="auto"/>
                <w:lang w:eastAsia="zh-CN"/>
              </w:rPr>
            </w:pPr>
            <w:r>
              <w:rPr>
                <w:rFonts w:hint="eastAsia" w:cs="Times New Roman"/>
                <w:color w:val="auto"/>
                <w:lang w:eastAsia="zh-CN"/>
              </w:rPr>
              <w:t>总氮</w:t>
            </w:r>
          </w:p>
        </w:tc>
        <w:tc>
          <w:tcPr>
            <w:tcW w:w="777" w:type="dxa"/>
            <w:noWrap w:val="0"/>
            <w:vAlign w:val="center"/>
          </w:tcPr>
          <w:p w14:paraId="2519F010">
            <w:pPr>
              <w:pStyle w:val="70"/>
              <w:spacing w:line="240" w:lineRule="exact"/>
              <w:ind w:firstLine="0" w:firstLineChars="0"/>
              <w:rPr>
                <w:rFonts w:hint="eastAsia" w:cs="Times New Roman"/>
                <w:color w:val="auto"/>
                <w:lang w:val="en-US" w:eastAsia="zh-CN"/>
              </w:rPr>
            </w:pPr>
          </w:p>
        </w:tc>
        <w:tc>
          <w:tcPr>
            <w:tcW w:w="1095" w:type="dxa"/>
            <w:gridSpan w:val="2"/>
            <w:noWrap w:val="0"/>
            <w:vAlign w:val="center"/>
          </w:tcPr>
          <w:p w14:paraId="2034144F">
            <w:pPr>
              <w:pStyle w:val="70"/>
              <w:spacing w:line="240" w:lineRule="exact"/>
              <w:ind w:firstLine="0" w:firstLineChars="0"/>
              <w:rPr>
                <w:rFonts w:hint="eastAsia" w:cs="Times New Roman"/>
                <w:color w:val="auto"/>
                <w:lang w:val="en-US" w:eastAsia="zh-CN"/>
              </w:rPr>
            </w:pPr>
          </w:p>
        </w:tc>
        <w:tc>
          <w:tcPr>
            <w:tcW w:w="1231" w:type="dxa"/>
            <w:gridSpan w:val="3"/>
            <w:noWrap w:val="0"/>
            <w:vAlign w:val="center"/>
          </w:tcPr>
          <w:p w14:paraId="038A8DB2">
            <w:pPr>
              <w:pStyle w:val="70"/>
              <w:spacing w:line="240" w:lineRule="exact"/>
              <w:ind w:firstLine="0" w:firstLineChars="0"/>
              <w:rPr>
                <w:rFonts w:hint="eastAsia" w:cs="Times New Roman"/>
                <w:color w:val="auto"/>
                <w:lang w:val="en-US" w:eastAsia="zh-CN"/>
              </w:rPr>
            </w:pPr>
          </w:p>
        </w:tc>
        <w:tc>
          <w:tcPr>
            <w:tcW w:w="952" w:type="dxa"/>
            <w:noWrap w:val="0"/>
            <w:vAlign w:val="center"/>
          </w:tcPr>
          <w:p w14:paraId="5CC47B84">
            <w:pPr>
              <w:pStyle w:val="70"/>
              <w:spacing w:line="240" w:lineRule="exact"/>
              <w:ind w:firstLine="0" w:firstLineChars="0"/>
              <w:rPr>
                <w:rFonts w:hint="eastAsia" w:cs="Times New Roman"/>
                <w:color w:val="auto"/>
                <w:lang w:val="en-US" w:eastAsia="zh-CN"/>
              </w:rPr>
            </w:pPr>
          </w:p>
        </w:tc>
        <w:tc>
          <w:tcPr>
            <w:tcW w:w="1139" w:type="dxa"/>
            <w:gridSpan w:val="2"/>
            <w:noWrap w:val="0"/>
            <w:vAlign w:val="center"/>
          </w:tcPr>
          <w:p w14:paraId="1BDFE0BF">
            <w:pPr>
              <w:pStyle w:val="70"/>
              <w:spacing w:line="240" w:lineRule="exact"/>
              <w:ind w:firstLine="0" w:firstLineChars="0"/>
              <w:rPr>
                <w:rFonts w:hint="eastAsia" w:cs="Times New Roman"/>
                <w:color w:val="auto"/>
                <w:lang w:val="en-US" w:eastAsia="zh-CN"/>
              </w:rPr>
            </w:pPr>
          </w:p>
        </w:tc>
        <w:tc>
          <w:tcPr>
            <w:tcW w:w="1268" w:type="dxa"/>
            <w:gridSpan w:val="2"/>
            <w:noWrap w:val="0"/>
            <w:vAlign w:val="center"/>
          </w:tcPr>
          <w:p w14:paraId="4A51D286">
            <w:pPr>
              <w:pStyle w:val="70"/>
              <w:spacing w:line="240" w:lineRule="exact"/>
              <w:ind w:firstLine="0" w:firstLineChars="0"/>
              <w:rPr>
                <w:rFonts w:hint="eastAsia" w:cs="Times New Roman"/>
                <w:color w:val="auto"/>
                <w:lang w:val="en-US" w:eastAsia="zh-CN"/>
              </w:rPr>
            </w:pPr>
          </w:p>
        </w:tc>
        <w:tc>
          <w:tcPr>
            <w:tcW w:w="939" w:type="dxa"/>
            <w:gridSpan w:val="2"/>
            <w:noWrap w:val="0"/>
            <w:vAlign w:val="center"/>
          </w:tcPr>
          <w:p w14:paraId="2D107076">
            <w:pPr>
              <w:pStyle w:val="70"/>
              <w:spacing w:line="240" w:lineRule="exact"/>
              <w:ind w:firstLine="0" w:firstLineChars="0"/>
              <w:rPr>
                <w:rFonts w:hint="default" w:ascii="Times New Roman" w:hAnsi="Times New Roman" w:cs="Times New Roman"/>
                <w:color w:val="auto"/>
              </w:rPr>
            </w:pPr>
          </w:p>
        </w:tc>
        <w:tc>
          <w:tcPr>
            <w:tcW w:w="1240" w:type="dxa"/>
            <w:gridSpan w:val="3"/>
            <w:noWrap w:val="0"/>
            <w:vAlign w:val="center"/>
          </w:tcPr>
          <w:p w14:paraId="477FEE1C">
            <w:pPr>
              <w:pStyle w:val="70"/>
              <w:spacing w:line="240" w:lineRule="exact"/>
              <w:ind w:firstLine="0" w:firstLineChars="0"/>
              <w:rPr>
                <w:rFonts w:hint="eastAsia" w:cs="Times New Roman"/>
                <w:color w:val="auto"/>
                <w:lang w:val="en-US" w:eastAsia="zh-CN"/>
              </w:rPr>
            </w:pPr>
          </w:p>
        </w:tc>
        <w:tc>
          <w:tcPr>
            <w:tcW w:w="1230" w:type="dxa"/>
            <w:gridSpan w:val="2"/>
            <w:noWrap w:val="0"/>
            <w:vAlign w:val="center"/>
          </w:tcPr>
          <w:p w14:paraId="6E0C2DB3">
            <w:pPr>
              <w:pStyle w:val="70"/>
              <w:spacing w:line="240" w:lineRule="exact"/>
              <w:ind w:firstLine="0" w:firstLineChars="0"/>
              <w:rPr>
                <w:rFonts w:hint="eastAsia" w:cs="Times New Roman"/>
                <w:color w:val="auto"/>
                <w:lang w:val="en-US" w:eastAsia="zh-CN"/>
              </w:rPr>
            </w:pPr>
          </w:p>
        </w:tc>
        <w:tc>
          <w:tcPr>
            <w:tcW w:w="848" w:type="dxa"/>
            <w:noWrap w:val="0"/>
            <w:vAlign w:val="center"/>
          </w:tcPr>
          <w:p w14:paraId="3C374DE6">
            <w:pPr>
              <w:pStyle w:val="70"/>
              <w:spacing w:line="240" w:lineRule="exact"/>
              <w:ind w:firstLine="0" w:firstLineChars="0"/>
              <w:rPr>
                <w:rFonts w:hint="eastAsia" w:cs="Times New Roman"/>
                <w:color w:val="auto"/>
                <w:lang w:val="en-US" w:eastAsia="zh-CN"/>
              </w:rPr>
            </w:pPr>
          </w:p>
        </w:tc>
        <w:tc>
          <w:tcPr>
            <w:tcW w:w="1096" w:type="dxa"/>
            <w:gridSpan w:val="2"/>
            <w:noWrap w:val="0"/>
            <w:vAlign w:val="center"/>
          </w:tcPr>
          <w:p w14:paraId="0B386B73">
            <w:pPr>
              <w:pStyle w:val="70"/>
              <w:spacing w:line="240" w:lineRule="exact"/>
              <w:ind w:firstLine="0" w:firstLineChars="0"/>
              <w:rPr>
                <w:rFonts w:hint="eastAsia" w:cs="Times New Roman"/>
                <w:color w:val="auto"/>
                <w:lang w:val="en-US" w:eastAsia="zh-CN"/>
              </w:rPr>
            </w:pPr>
          </w:p>
        </w:tc>
        <w:tc>
          <w:tcPr>
            <w:tcW w:w="891" w:type="dxa"/>
            <w:noWrap w:val="0"/>
            <w:vAlign w:val="center"/>
          </w:tcPr>
          <w:p w14:paraId="21EFEF46">
            <w:pPr>
              <w:pStyle w:val="70"/>
              <w:spacing w:line="240" w:lineRule="exact"/>
              <w:ind w:firstLine="0" w:firstLineChars="0"/>
              <w:jc w:val="center"/>
              <w:rPr>
                <w:rFonts w:hint="eastAsia" w:cs="Times New Roman"/>
                <w:color w:val="auto"/>
                <w:lang w:val="en-US" w:eastAsia="zh-CN"/>
              </w:rPr>
            </w:pPr>
          </w:p>
        </w:tc>
      </w:tr>
      <w:tr w14:paraId="6E89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6" w:hRule="exact"/>
        </w:trPr>
        <w:tc>
          <w:tcPr>
            <w:tcW w:w="713" w:type="dxa"/>
            <w:vMerge w:val="continue"/>
            <w:noWrap w:val="0"/>
            <w:vAlign w:val="center"/>
          </w:tcPr>
          <w:p w14:paraId="6FDF3DE0">
            <w:pPr>
              <w:pStyle w:val="70"/>
              <w:spacing w:line="240" w:lineRule="exact"/>
              <w:rPr>
                <w:rFonts w:hint="default" w:ascii="Times New Roman" w:hAnsi="Times New Roman" w:cs="Times New Roman"/>
                <w:color w:val="auto"/>
              </w:rPr>
            </w:pPr>
          </w:p>
        </w:tc>
        <w:tc>
          <w:tcPr>
            <w:tcW w:w="1190" w:type="dxa"/>
            <w:vMerge w:val="restart"/>
            <w:noWrap w:val="0"/>
            <w:vAlign w:val="center"/>
          </w:tcPr>
          <w:p w14:paraId="7B15A590">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与项目有关的其他特征污染物</w:t>
            </w:r>
          </w:p>
        </w:tc>
        <w:tc>
          <w:tcPr>
            <w:tcW w:w="705" w:type="dxa"/>
            <w:noWrap w:val="0"/>
            <w:vAlign w:val="center"/>
          </w:tcPr>
          <w:p w14:paraId="50F61D57">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悬浮物</w:t>
            </w:r>
          </w:p>
        </w:tc>
        <w:tc>
          <w:tcPr>
            <w:tcW w:w="777" w:type="dxa"/>
            <w:noWrap w:val="0"/>
            <w:vAlign w:val="center"/>
          </w:tcPr>
          <w:p w14:paraId="6C1D4181">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095" w:type="dxa"/>
            <w:gridSpan w:val="2"/>
            <w:noWrap w:val="0"/>
            <w:vAlign w:val="center"/>
          </w:tcPr>
          <w:p w14:paraId="5D180186">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1" w:type="dxa"/>
            <w:gridSpan w:val="3"/>
            <w:noWrap w:val="0"/>
            <w:vAlign w:val="center"/>
          </w:tcPr>
          <w:p w14:paraId="5F2B6268">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52" w:type="dxa"/>
            <w:noWrap w:val="0"/>
            <w:vAlign w:val="center"/>
          </w:tcPr>
          <w:p w14:paraId="42A692D0">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139" w:type="dxa"/>
            <w:gridSpan w:val="2"/>
            <w:noWrap w:val="0"/>
            <w:vAlign w:val="center"/>
          </w:tcPr>
          <w:p w14:paraId="67C4911D">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68" w:type="dxa"/>
            <w:gridSpan w:val="2"/>
            <w:noWrap w:val="0"/>
            <w:vAlign w:val="center"/>
          </w:tcPr>
          <w:p w14:paraId="47951913">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39" w:type="dxa"/>
            <w:gridSpan w:val="2"/>
            <w:noWrap w:val="0"/>
            <w:vAlign w:val="center"/>
          </w:tcPr>
          <w:p w14:paraId="69FCE879">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40" w:type="dxa"/>
            <w:gridSpan w:val="3"/>
            <w:noWrap w:val="0"/>
            <w:vAlign w:val="center"/>
          </w:tcPr>
          <w:p w14:paraId="7F7D69E5">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0" w:type="dxa"/>
            <w:gridSpan w:val="2"/>
            <w:noWrap w:val="0"/>
            <w:vAlign w:val="center"/>
          </w:tcPr>
          <w:p w14:paraId="1DF9E3E7">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848" w:type="dxa"/>
            <w:noWrap w:val="0"/>
            <w:vAlign w:val="center"/>
          </w:tcPr>
          <w:p w14:paraId="3EDFD199">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096" w:type="dxa"/>
            <w:gridSpan w:val="2"/>
            <w:noWrap w:val="0"/>
            <w:vAlign w:val="center"/>
          </w:tcPr>
          <w:p w14:paraId="12557089">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891" w:type="dxa"/>
            <w:noWrap w:val="0"/>
            <w:vAlign w:val="center"/>
          </w:tcPr>
          <w:p w14:paraId="50772761">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r>
      <w:tr w14:paraId="45D7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2" w:hRule="exact"/>
        </w:trPr>
        <w:tc>
          <w:tcPr>
            <w:tcW w:w="713" w:type="dxa"/>
            <w:vMerge w:val="continue"/>
            <w:noWrap w:val="0"/>
            <w:vAlign w:val="center"/>
          </w:tcPr>
          <w:p w14:paraId="63835FF7">
            <w:pPr>
              <w:pStyle w:val="70"/>
              <w:spacing w:line="240" w:lineRule="exact"/>
              <w:rPr>
                <w:rFonts w:hint="default" w:ascii="Times New Roman" w:hAnsi="Times New Roman" w:cs="Times New Roman"/>
                <w:color w:val="auto"/>
              </w:rPr>
            </w:pPr>
          </w:p>
        </w:tc>
        <w:tc>
          <w:tcPr>
            <w:tcW w:w="1190" w:type="dxa"/>
            <w:vMerge w:val="continue"/>
            <w:noWrap w:val="0"/>
            <w:vAlign w:val="center"/>
          </w:tcPr>
          <w:p w14:paraId="14E33614">
            <w:pPr>
              <w:pStyle w:val="70"/>
              <w:spacing w:line="240" w:lineRule="exact"/>
              <w:rPr>
                <w:rFonts w:hint="default" w:ascii="Times New Roman" w:hAnsi="Times New Roman" w:cs="Times New Roman"/>
                <w:color w:val="auto"/>
              </w:rPr>
            </w:pPr>
          </w:p>
        </w:tc>
        <w:tc>
          <w:tcPr>
            <w:tcW w:w="705" w:type="dxa"/>
            <w:noWrap w:val="0"/>
            <w:vAlign w:val="center"/>
          </w:tcPr>
          <w:p w14:paraId="7E385391">
            <w:pPr>
              <w:pStyle w:val="70"/>
              <w:spacing w:line="240" w:lineRule="exact"/>
              <w:rPr>
                <w:rFonts w:hint="default" w:ascii="Times New Roman" w:hAnsi="Times New Roman" w:cs="Times New Roman"/>
                <w:color w:val="auto"/>
              </w:rPr>
            </w:pPr>
            <w:r>
              <w:rPr>
                <w:rFonts w:hint="default" w:ascii="Times New Roman" w:hAnsi="Times New Roman" w:cs="Times New Roman"/>
                <w:color w:val="auto"/>
              </w:rPr>
              <w:t>/</w:t>
            </w:r>
          </w:p>
        </w:tc>
        <w:tc>
          <w:tcPr>
            <w:tcW w:w="777" w:type="dxa"/>
            <w:noWrap w:val="0"/>
            <w:vAlign w:val="center"/>
          </w:tcPr>
          <w:p w14:paraId="2E33C48A">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095" w:type="dxa"/>
            <w:gridSpan w:val="2"/>
            <w:noWrap w:val="0"/>
            <w:vAlign w:val="center"/>
          </w:tcPr>
          <w:p w14:paraId="3ACCE3FC">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1" w:type="dxa"/>
            <w:gridSpan w:val="3"/>
            <w:noWrap w:val="0"/>
            <w:vAlign w:val="center"/>
          </w:tcPr>
          <w:p w14:paraId="5A01EB5E">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52" w:type="dxa"/>
            <w:noWrap w:val="0"/>
            <w:vAlign w:val="center"/>
          </w:tcPr>
          <w:p w14:paraId="446E3B28">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139" w:type="dxa"/>
            <w:gridSpan w:val="2"/>
            <w:noWrap w:val="0"/>
            <w:vAlign w:val="center"/>
          </w:tcPr>
          <w:p w14:paraId="71418F87">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68" w:type="dxa"/>
            <w:gridSpan w:val="2"/>
            <w:noWrap w:val="0"/>
            <w:vAlign w:val="center"/>
          </w:tcPr>
          <w:p w14:paraId="28F44E0F">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939" w:type="dxa"/>
            <w:gridSpan w:val="2"/>
            <w:noWrap w:val="0"/>
            <w:vAlign w:val="center"/>
          </w:tcPr>
          <w:p w14:paraId="6CFFBA86">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40" w:type="dxa"/>
            <w:gridSpan w:val="3"/>
            <w:noWrap w:val="0"/>
            <w:vAlign w:val="center"/>
          </w:tcPr>
          <w:p w14:paraId="2E00F1E7">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230" w:type="dxa"/>
            <w:gridSpan w:val="2"/>
            <w:noWrap w:val="0"/>
            <w:vAlign w:val="center"/>
          </w:tcPr>
          <w:p w14:paraId="19E537A0">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848" w:type="dxa"/>
            <w:noWrap w:val="0"/>
            <w:vAlign w:val="center"/>
          </w:tcPr>
          <w:p w14:paraId="2DF72E95">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1096" w:type="dxa"/>
            <w:gridSpan w:val="2"/>
            <w:noWrap w:val="0"/>
            <w:vAlign w:val="center"/>
          </w:tcPr>
          <w:p w14:paraId="0A39615B">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c>
          <w:tcPr>
            <w:tcW w:w="891" w:type="dxa"/>
            <w:noWrap w:val="0"/>
            <w:vAlign w:val="center"/>
          </w:tcPr>
          <w:p w14:paraId="0A55CF04">
            <w:pPr>
              <w:pStyle w:val="70"/>
              <w:spacing w:line="240" w:lineRule="exact"/>
              <w:ind w:firstLine="0" w:firstLineChars="0"/>
              <w:rPr>
                <w:rFonts w:hint="default" w:ascii="Times New Roman" w:hAnsi="Times New Roman" w:cs="Times New Roman"/>
                <w:color w:val="auto"/>
              </w:rPr>
            </w:pPr>
            <w:r>
              <w:rPr>
                <w:rFonts w:hint="eastAsia" w:cs="Times New Roman"/>
                <w:color w:val="auto"/>
                <w:lang w:val="en-US" w:eastAsia="zh-CN"/>
              </w:rPr>
              <w:t>/</w:t>
            </w:r>
          </w:p>
        </w:tc>
      </w:tr>
    </w:tbl>
    <w:p w14:paraId="0C71BD91">
      <w:pPr>
        <w:pStyle w:val="32"/>
        <w:spacing w:after="0"/>
        <w:ind w:left="124" w:leftChars="59" w:firstLine="0" w:firstLineChars="0"/>
        <w:rPr>
          <w:rFonts w:hint="eastAsia" w:ascii="Times New Roman" w:hAnsi="Times New Roman" w:eastAsia="宋体" w:cs="Times New Roman"/>
          <w:color w:val="auto"/>
          <w:lang w:eastAsia="zh-CN"/>
        </w:rPr>
      </w:pPr>
      <w:r>
        <w:rPr>
          <w:rFonts w:hint="default" w:ascii="Times New Roman" w:hAnsi="Times New Roman" w:cs="Times New Roman"/>
          <w:color w:val="auto"/>
        </w:rPr>
        <w:t>填表单位</w:t>
      </w:r>
      <w:r>
        <w:rPr>
          <w:rFonts w:hint="eastAsia" w:ascii="Times New Roman" w:hAnsi="Times New Roman" w:cs="Times New Roman"/>
          <w:color w:val="auto"/>
          <w:lang w:eastAsia="zh-CN"/>
        </w:rPr>
        <w:t>（</w:t>
      </w:r>
      <w:r>
        <w:rPr>
          <w:rFonts w:hint="default" w:ascii="Times New Roman" w:hAnsi="Times New Roman" w:cs="Times New Roman"/>
          <w:color w:val="auto"/>
        </w:rPr>
        <w:t>盖章</w:t>
      </w:r>
      <w:r>
        <w:rPr>
          <w:rFonts w:hint="eastAsia" w:ascii="Times New Roman" w:hAnsi="Times New Roman" w:cs="Times New Roman"/>
          <w:color w:val="auto"/>
          <w:lang w:eastAsia="zh-CN"/>
        </w:rPr>
        <w:t>）：</w:t>
      </w:r>
      <w:r>
        <w:rPr>
          <w:rFonts w:hint="eastAsia" w:cs="Times New Roman"/>
          <w:color w:val="auto"/>
          <w:lang w:eastAsia="zh-CN"/>
        </w:rPr>
        <w:t>广元伟利森环保工程有限公司</w:t>
      </w:r>
      <w:r>
        <w:rPr>
          <w:rFonts w:hint="default" w:ascii="Times New Roman" w:hAnsi="Times New Roman" w:cs="Times New Roman"/>
          <w:color w:val="auto"/>
        </w:rPr>
        <w:t xml:space="preserve">                </w:t>
      </w:r>
      <w:r>
        <w:rPr>
          <w:rFonts w:hint="eastAsia" w:cs="Times New Roman"/>
          <w:color w:val="auto"/>
          <w:lang w:val="en-US" w:eastAsia="zh-CN"/>
        </w:rPr>
        <w:t xml:space="preserve"> </w:t>
      </w:r>
      <w:r>
        <w:rPr>
          <w:rFonts w:hint="default" w:ascii="Times New Roman" w:hAnsi="Times New Roman" w:cs="Times New Roman"/>
          <w:color w:val="auto"/>
        </w:rPr>
        <w:t>填表人</w:t>
      </w:r>
      <w:r>
        <w:rPr>
          <w:rFonts w:hint="eastAsia" w:ascii="Times New Roman" w:hAnsi="Times New Roman" w:cs="Times New Roman"/>
          <w:color w:val="auto"/>
          <w:lang w:eastAsia="zh-CN"/>
        </w:rPr>
        <w:t>（</w:t>
      </w:r>
      <w:r>
        <w:rPr>
          <w:rFonts w:hint="default" w:ascii="Times New Roman" w:hAnsi="Times New Roman" w:cs="Times New Roman"/>
          <w:color w:val="auto"/>
        </w:rPr>
        <w:t>签字</w:t>
      </w:r>
      <w:r>
        <w:rPr>
          <w:rFonts w:hint="eastAsia" w:ascii="Times New Roman" w:hAnsi="Times New Roman" w:cs="Times New Roman"/>
          <w:color w:val="auto"/>
          <w:lang w:eastAsia="zh-CN"/>
        </w:rPr>
        <w:t>）：</w:t>
      </w:r>
      <w:r>
        <w:rPr>
          <w:rFonts w:hint="default" w:ascii="Times New Roman" w:hAnsi="Times New Roman" w:cs="Times New Roman"/>
          <w:color w:val="auto"/>
        </w:rPr>
        <w:t xml:space="preserve">                   项目经办人</w:t>
      </w:r>
      <w:r>
        <w:rPr>
          <w:rFonts w:hint="eastAsia" w:ascii="Times New Roman" w:hAnsi="Times New Roman" w:cs="Times New Roman"/>
          <w:color w:val="auto"/>
          <w:lang w:eastAsia="zh-CN"/>
        </w:rPr>
        <w:t>（</w:t>
      </w:r>
      <w:r>
        <w:rPr>
          <w:rFonts w:hint="default" w:ascii="Times New Roman" w:hAnsi="Times New Roman" w:cs="Times New Roman"/>
          <w:color w:val="auto"/>
        </w:rPr>
        <w:t>签字</w:t>
      </w:r>
      <w:r>
        <w:rPr>
          <w:rFonts w:hint="eastAsia" w:ascii="Times New Roman" w:hAnsi="Times New Roman" w:cs="Times New Roman"/>
          <w:color w:val="auto"/>
          <w:lang w:eastAsia="zh-CN"/>
        </w:rPr>
        <w:t>）：</w:t>
      </w:r>
    </w:p>
    <w:p w14:paraId="4982E49E">
      <w:pPr>
        <w:pStyle w:val="32"/>
        <w:ind w:left="124" w:leftChars="59" w:firstLine="361"/>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注</w:t>
      </w:r>
      <w:r>
        <w:rPr>
          <w:rFonts w:hint="default" w:ascii="Times New Roman" w:hAnsi="Times New Roman" w:cs="Times New Roman"/>
          <w:color w:val="auto"/>
          <w:sz w:val="18"/>
          <w:szCs w:val="18"/>
        </w:rPr>
        <w:t>：1、排放增减量：（+）表示增加，（-）表示减少。2、</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12</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6</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8</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11</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 xml:space="preserve">，（9）= </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4</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5</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8</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 xml:space="preserve">- </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11</w:t>
      </w:r>
      <w:r>
        <w:rPr>
          <w:rFonts w:hint="eastAsia" w:ascii="Times New Roman" w:hAnsi="Times New Roman" w:cs="Times New Roman"/>
          <w:color w:val="auto"/>
          <w:sz w:val="18"/>
          <w:szCs w:val="18"/>
          <w:lang w:eastAsia="zh-CN"/>
        </w:rPr>
        <w:t>）</w:t>
      </w:r>
      <w:r>
        <w:rPr>
          <w:rFonts w:hint="default" w:ascii="Times New Roman" w:hAnsi="Times New Roman" w:cs="Times New Roman"/>
          <w:color w:val="auto"/>
          <w:sz w:val="18"/>
          <w:szCs w:val="18"/>
        </w:rPr>
        <w:t xml:space="preserve"> +（1）。3、计量单位：废水排放量——吨/年；废气排放量——万标立方米/年；工业固体废物排放量——万吨/年；水污染物排放浓度——毫克/升</w:t>
      </w:r>
    </w:p>
    <w:p w14:paraId="6D49ABBE">
      <w:pPr>
        <w:pStyle w:val="32"/>
        <w:ind w:left="0" w:leftChars="0" w:firstLine="0" w:firstLineChars="0"/>
        <w:rPr>
          <w:rFonts w:hint="default" w:ascii="Times New Roman" w:hAnsi="Times New Roman" w:cs="Times New Roman"/>
          <w:color w:val="auto"/>
          <w:sz w:val="18"/>
          <w:szCs w:val="18"/>
        </w:rPr>
      </w:pPr>
      <w:r>
        <w:rPr>
          <w:rFonts w:hint="default" w:ascii="Times New Roman" w:hAnsi="Times New Roman" w:cs="Times New Roman"/>
          <w:color w:val="auto"/>
          <w:sz w:val="18"/>
          <w:szCs w:val="18"/>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6080760</wp:posOffset>
                </wp:positionV>
                <wp:extent cx="9744075" cy="723900"/>
                <wp:effectExtent l="0" t="0" r="0" b="0"/>
                <wp:wrapNone/>
                <wp:docPr id="3" name="文本框 304"/>
                <wp:cNvGraphicFramePr/>
                <a:graphic xmlns:a="http://schemas.openxmlformats.org/drawingml/2006/main">
                  <a:graphicData uri="http://schemas.microsoft.com/office/word/2010/wordprocessingShape">
                    <wps:wsp>
                      <wps:cNvSpPr txBox="1"/>
                      <wps:spPr>
                        <a:xfrm>
                          <a:off x="0" y="0"/>
                          <a:ext cx="9744075" cy="723900"/>
                        </a:xfrm>
                        <a:prstGeom prst="rect">
                          <a:avLst/>
                        </a:prstGeom>
                        <a:noFill/>
                        <a:ln w="15875">
                          <a:noFill/>
                        </a:ln>
                      </wps:spPr>
                      <wps:txbx>
                        <w:txbxContent>
                          <w:p w14:paraId="0EC5DAA1"/>
                        </w:txbxContent>
                      </wps:txbx>
                      <wps:bodyPr upright="1"/>
                    </wps:wsp>
                  </a:graphicData>
                </a:graphic>
              </wp:anchor>
            </w:drawing>
          </mc:Choice>
          <mc:Fallback>
            <w:pict>
              <v:shape id="文本框 304" o:spid="_x0000_s1026" o:spt="202" type="#_x0000_t202" style="position:absolute;left:0pt;margin-left:-24.1pt;margin-top:478.8pt;height:57pt;width:767.25pt;z-index:251660288;mso-width-relative:page;mso-height-relative:page;" filled="f" stroked="f" coordsize="21600,21600" o:gfxdata="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TdxOC3wAAAA0BAAAPAAAAAAAAAAEAIAAAACIAAABkcnMvZG93bnJldi54bWxQ&#10;SwECFAAUAAAACACHTuJAqEmIUrcBAABaAwAADgAAAAAAAAABACAAAAAuAQAAZHJzL2Uyb0RvYy54&#10;bWxQSwUGAAAAAAYABgBZAQAAVwUAAAAA&#10;">
                <v:fill on="f" focussize="0,0"/>
                <v:stroke on="f" weight="1.25pt"/>
                <v:imagedata o:title=""/>
                <o:lock v:ext="edit" aspectratio="f"/>
                <v:textbox>
                  <w:txbxContent>
                    <w:p w14:paraId="0EC5DAA1"/>
                  </w:txbxContent>
                </v:textbox>
              </v:shape>
            </w:pict>
          </mc:Fallback>
        </mc:AlternateContent>
      </w:r>
      <w:bookmarkEnd w:id="56"/>
    </w:p>
    <w:sectPr>
      <w:headerReference r:id="rId13" w:type="default"/>
      <w:footerReference r:id="rId14" w:type="default"/>
      <w:pgSz w:w="16838" w:h="11906" w:orient="landscape"/>
      <w:pgMar w:top="1083" w:right="1440" w:bottom="1083" w:left="1440" w:header="568" w:footer="542" w:gutter="0"/>
      <w:pgBorders>
        <w:top w:val="none" w:sz="0" w:space="0"/>
        <w:left w:val="none" w:sz="0" w:space="0"/>
        <w:bottom w:val="none" w:sz="0" w:space="0"/>
        <w:right w:val="none" w:sz="0" w:space="0"/>
      </w:pgBorders>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1DD0B">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731AE">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95538">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CB15">
    <w:pPr>
      <w:pStyle w:val="2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90F01">
    <w:pPr>
      <w:pStyle w:val="21"/>
      <w:ind w:firstLine="480"/>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1 -</w:t>
    </w:r>
    <w:r>
      <w:rPr>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63EFE">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CF002D2">
                          <w:pPr>
                            <w:pStyle w:val="21"/>
                            <w:ind w:firstLine="560"/>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- 24 -</w:t>
                          </w:r>
                          <w:r>
                            <w:rPr>
                              <w:rFonts w:hint="eastAsia"/>
                              <w:sz w:val="28"/>
                              <w:szCs w:val="28"/>
                            </w:rPr>
                            <w:fldChar w:fldCharType="end"/>
                          </w:r>
                        </w:p>
                      </w:txbxContent>
                    </wps:txbx>
                    <wps:bodyPr wrap="none" lIns="0" tIns="0" rIns="0" bIns="0" upright="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oaYJL0wAAAAUBAAAPAAAAAAAAAAEAIAAAACIA&#10;AABkcnMvZG93bnJldi54bWxQSwECFAAUAAAACACHTuJA9s8MXdUBAACnAwAADgAAAAAAAAABACAA&#10;AAAiAQAAZHJzL2Uyb0RvYy54bWxQSwUGAAAAAAYABgBZAQAAaQUAAAAA&#10;">
              <v:fill on="f" focussize="0,0"/>
              <v:stroke on="f" weight="1.25pt"/>
              <v:imagedata o:title=""/>
              <o:lock v:ext="edit" aspectratio="f"/>
              <v:textbox inset="0mm,0mm,0mm,0mm" style="mso-fit-shape-to-text:t;">
                <w:txbxContent>
                  <w:p w14:paraId="1CF002D2">
                    <w:pPr>
                      <w:pStyle w:val="21"/>
                      <w:ind w:firstLine="560"/>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- 24 -</w:t>
                    </w:r>
                    <w:r>
                      <w:rPr>
                        <w:rFonts w:hint="eastAsia"/>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B7F66">
    <w:pPr>
      <w:pStyle w:val="2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F27D7">
    <w:pPr>
      <w:pStyle w:val="22"/>
      <w:ind w:firstLine="420"/>
      <w:jc w:val="right"/>
      <w:rPr>
        <w:rFonts w:hint="eastAsia" w:eastAsia="宋体"/>
        <w:b/>
        <w:i/>
        <w:iCs/>
        <w:sz w:val="21"/>
        <w:szCs w:val="21"/>
        <w:lang w:eastAsia="zh-CN"/>
      </w:rPr>
    </w:pPr>
    <w:r>
      <w:rPr>
        <w:rFonts w:hint="eastAsia" w:cs="Times New Roman"/>
        <w:i/>
        <w:iCs/>
        <w:sz w:val="21"/>
        <w:szCs w:val="21"/>
        <w:lang w:eastAsia="zh-CN"/>
      </w:rPr>
      <w:t>青川县餐厨垃圾无害化处理、资源化利用项目</w:t>
    </w:r>
    <w:r>
      <w:rPr>
        <w:rFonts w:hint="eastAsia" w:ascii="Times New Roman" w:hAnsi="Times New Roman" w:eastAsia="宋体" w:cs="Times New Roman"/>
        <w:i/>
        <w:iCs/>
        <w:sz w:val="21"/>
        <w:szCs w:val="21"/>
      </w:rPr>
      <w:t>竣工环境</w:t>
    </w:r>
    <w:r>
      <w:rPr>
        <w:rFonts w:hint="eastAsia"/>
        <w:i/>
        <w:iCs/>
        <w:sz w:val="21"/>
        <w:szCs w:val="21"/>
      </w:rPr>
      <w:t>保护验收</w:t>
    </w:r>
    <w:r>
      <w:rPr>
        <w:rFonts w:hint="eastAsia"/>
        <w:i/>
        <w:iCs/>
        <w:sz w:val="21"/>
        <w:szCs w:val="21"/>
        <w:lang w:eastAsia="zh-CN"/>
      </w:rPr>
      <w:t>监测报告表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EEF2E">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04038">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68B86">
    <w:pPr>
      <w:pStyle w:val="22"/>
      <w:ind w:firstLine="420"/>
      <w:jc w:val="right"/>
      <w:rPr>
        <w:rFonts w:hint="eastAsia"/>
        <w:lang w:eastAsia="zh-CN"/>
      </w:rPr>
    </w:pPr>
    <w:r>
      <w:rPr>
        <w:rFonts w:hint="eastAsia" w:cs="Times New Roman"/>
        <w:i/>
        <w:iCs/>
        <w:sz w:val="21"/>
        <w:szCs w:val="21"/>
        <w:lang w:eastAsia="zh-CN"/>
      </w:rPr>
      <w:t>青川县餐厨垃圾无害化处理、资源化利用项目</w:t>
    </w:r>
    <w:r>
      <w:rPr>
        <w:rFonts w:hint="eastAsia" w:ascii="Times New Roman" w:hAnsi="Times New Roman" w:eastAsia="宋体" w:cs="Times New Roman"/>
        <w:i/>
        <w:iCs/>
        <w:sz w:val="21"/>
        <w:szCs w:val="21"/>
      </w:rPr>
      <w:t>竣工环境</w:t>
    </w:r>
    <w:r>
      <w:rPr>
        <w:rFonts w:hint="eastAsia"/>
        <w:i/>
        <w:iCs/>
        <w:sz w:val="21"/>
        <w:szCs w:val="21"/>
      </w:rPr>
      <w:t>保护验收</w:t>
    </w:r>
    <w:r>
      <w:rPr>
        <w:rFonts w:hint="eastAsia"/>
        <w:i/>
        <w:iCs/>
        <w:sz w:val="21"/>
        <w:szCs w:val="21"/>
        <w:lang w:eastAsia="zh-CN"/>
      </w:rPr>
      <w:t>检测报告表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95CDF">
    <w:pPr>
      <w:pStyle w:val="22"/>
      <w:ind w:firstLine="420"/>
      <w:jc w:val="right"/>
      <w:rPr>
        <w:rFonts w:hint="eastAsia"/>
        <w:lang w:eastAsia="zh-CN"/>
      </w:rPr>
    </w:pPr>
    <w:r>
      <w:rPr>
        <w:rFonts w:hint="eastAsia" w:cs="Times New Roman"/>
        <w:i/>
        <w:iCs/>
        <w:sz w:val="21"/>
        <w:szCs w:val="21"/>
        <w:lang w:eastAsia="zh-CN"/>
      </w:rPr>
      <w:t>青川县餐厨垃圾无害化处理、资源化利用项目</w:t>
    </w:r>
    <w:r>
      <w:rPr>
        <w:rFonts w:hint="eastAsia" w:ascii="Times New Roman" w:hAnsi="Times New Roman" w:eastAsia="宋体" w:cs="Times New Roman"/>
        <w:i/>
        <w:iCs/>
        <w:sz w:val="21"/>
        <w:szCs w:val="21"/>
      </w:rPr>
      <w:t>竣工环境</w:t>
    </w:r>
    <w:r>
      <w:rPr>
        <w:rFonts w:hint="eastAsia"/>
        <w:i/>
        <w:iCs/>
        <w:sz w:val="21"/>
        <w:szCs w:val="21"/>
      </w:rPr>
      <w:t>保护验收</w:t>
    </w:r>
    <w:r>
      <w:rPr>
        <w:rFonts w:hint="eastAsia"/>
        <w:i/>
        <w:iCs/>
        <w:sz w:val="21"/>
        <w:szCs w:val="21"/>
        <w:lang w:eastAsia="zh-CN"/>
      </w:rPr>
      <w:t>检测报告表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207EB3"/>
    <w:multiLevelType w:val="multilevel"/>
    <w:tmpl w:val="92207EB3"/>
    <w:lvl w:ilvl="0" w:tentative="0">
      <w:start w:val="1"/>
      <w:numFmt w:val="none"/>
      <w:pStyle w:val="6"/>
      <w:suff w:val="nothing"/>
      <w:lvlText w:val=""/>
      <w:lvlJc w:val="left"/>
      <w:pPr>
        <w:tabs>
          <w:tab w:val="left" w:pos="0"/>
        </w:tabs>
      </w:pPr>
      <w:rPr>
        <w:rFonts w:hint="eastAsia" w:ascii="宋体" w:hAnsi="宋体" w:eastAsia="宋体" w:cs="宋体"/>
      </w:rPr>
    </w:lvl>
    <w:lvl w:ilvl="1" w:tentative="0">
      <w:start w:val="1"/>
      <w:numFmt w:val="chineseCounting"/>
      <w:lvlText w:val="%2、"/>
      <w:lvlJc w:val="left"/>
      <w:pPr>
        <w:tabs>
          <w:tab w:val="left" w:pos="420"/>
        </w:tabs>
        <w:ind w:left="840" w:hanging="420"/>
      </w:pPr>
      <w:rPr>
        <w:rFonts w:hint="eastAsia" w:ascii="宋体" w:hAnsi="宋体" w:eastAsia="宋体" w:cs="宋体"/>
      </w:rPr>
    </w:lvl>
    <w:lvl w:ilvl="2" w:tentative="0">
      <w:start w:val="1"/>
      <w:numFmt w:val="decimal"/>
      <w:pStyle w:val="5"/>
      <w:lvlText w:val="%3、"/>
      <w:lvlJc w:val="left"/>
      <w:pPr>
        <w:tabs>
          <w:tab w:val="left" w:pos="420"/>
        </w:tabs>
        <w:ind w:left="1260" w:hanging="420"/>
      </w:pPr>
      <w:rPr>
        <w:rFonts w:hint="eastAsia" w:ascii="宋体" w:hAnsi="宋体" w:eastAsia="宋体" w:cs="宋体"/>
      </w:rPr>
    </w:lvl>
    <w:lvl w:ilvl="3" w:tentative="0">
      <w:start w:val="1"/>
      <w:numFmt w:val="decimalEnclosedCircleChinese"/>
      <w:lvlText w:val="%4"/>
      <w:lvlJc w:val="left"/>
      <w:pPr>
        <w:tabs>
          <w:tab w:val="left" w:pos="420"/>
        </w:tabs>
        <w:ind w:left="1680" w:hanging="420"/>
      </w:pPr>
      <w:rPr>
        <w:rFonts w:hint="eastAsia" w:ascii="宋体" w:hAnsi="宋体" w:eastAsia="Times New Roman" w:cs="宋体"/>
      </w:rPr>
    </w:lvl>
    <w:lvl w:ilvl="4" w:tentative="0">
      <w:start w:val="1"/>
      <w:numFmt w:val="decimalFullWidth"/>
      <w:lvlText w:val="%5"/>
      <w:lvlJc w:val="left"/>
      <w:pPr>
        <w:tabs>
          <w:tab w:val="left" w:pos="2100"/>
        </w:tabs>
        <w:ind w:left="2100" w:hanging="420"/>
      </w:pPr>
      <w:rPr>
        <w:rFonts w:hint="eastAsia" w:ascii="宋体" w:hAnsi="宋体" w:eastAsia="宋体" w:cs="宋体"/>
      </w:rPr>
    </w:lvl>
    <w:lvl w:ilvl="5" w:tentative="0">
      <w:start w:val="1"/>
      <w:numFmt w:val="lowerRoman"/>
      <w:lvlText w:val="%6."/>
      <w:lvlJc w:val="left"/>
      <w:pPr>
        <w:tabs>
          <w:tab w:val="left" w:pos="2520"/>
        </w:tabs>
        <w:ind w:left="2520" w:hanging="420"/>
      </w:pPr>
      <w:rPr>
        <w:rFonts w:hint="eastAsia" w:ascii="宋体" w:hAnsi="宋体" w:eastAsia="宋体" w:cs="宋体"/>
      </w:rPr>
    </w:lvl>
    <w:lvl w:ilvl="6" w:tentative="0">
      <w:start w:val="1"/>
      <w:numFmt w:val="decimal"/>
      <w:lvlText w:val="%7."/>
      <w:lvlJc w:val="left"/>
      <w:pPr>
        <w:tabs>
          <w:tab w:val="left" w:pos="2940"/>
        </w:tabs>
        <w:ind w:left="2940" w:hanging="420"/>
      </w:pPr>
      <w:rPr>
        <w:rFonts w:hint="eastAsia" w:ascii="宋体" w:hAnsi="宋体" w:eastAsia="宋体"/>
      </w:rPr>
    </w:lvl>
    <w:lvl w:ilvl="7" w:tentative="0">
      <w:start w:val="1"/>
      <w:numFmt w:val="lowerLetter"/>
      <w:lvlText w:val="%8)"/>
      <w:lvlJc w:val="left"/>
      <w:pPr>
        <w:tabs>
          <w:tab w:val="left" w:pos="3360"/>
        </w:tabs>
        <w:ind w:left="3360" w:hanging="420"/>
      </w:pPr>
      <w:rPr>
        <w:rFonts w:hint="eastAsia" w:ascii="宋体" w:hAnsi="宋体" w:eastAsia="宋体"/>
      </w:rPr>
    </w:lvl>
    <w:lvl w:ilvl="8" w:tentative="0">
      <w:start w:val="1"/>
      <w:numFmt w:val="lowerRoman"/>
      <w:lvlText w:val="%9."/>
      <w:lvlJc w:val="left"/>
      <w:pPr>
        <w:tabs>
          <w:tab w:val="left" w:pos="3780"/>
        </w:tabs>
        <w:ind w:left="3780" w:hanging="420"/>
      </w:pPr>
      <w:rPr>
        <w:rFonts w:hint="eastAsia" w:ascii="宋体" w:hAnsi="宋体" w:eastAsia="宋体"/>
      </w:rPr>
    </w:lvl>
  </w:abstractNum>
  <w:abstractNum w:abstractNumId="1">
    <w:nsid w:val="FFFFFF88"/>
    <w:multiLevelType w:val="singleLevel"/>
    <w:tmpl w:val="FFFFFF88"/>
    <w:lvl w:ilvl="0" w:tentative="0">
      <w:start w:val="1"/>
      <w:numFmt w:val="decimal"/>
      <w:pStyle w:val="8"/>
      <w:lvlText w:val="%1."/>
      <w:lvlJc w:val="left"/>
      <w:pPr>
        <w:tabs>
          <w:tab w:val="left" w:pos="360"/>
        </w:tabs>
        <w:ind w:left="360" w:hanging="360"/>
      </w:pPr>
    </w:lvl>
  </w:abstractNum>
  <w:abstractNum w:abstractNumId="2">
    <w:nsid w:val="0000000A"/>
    <w:multiLevelType w:val="multilevel"/>
    <w:tmpl w:val="0000000A"/>
    <w:lvl w:ilvl="0" w:tentative="0">
      <w:start w:val="1"/>
      <w:numFmt w:val="japaneseCounting"/>
      <w:pStyle w:val="64"/>
      <w:lvlText w:val="第%1章"/>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multilevel"/>
    <w:tmpl w:val="0000000B"/>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6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C"/>
    <w:multiLevelType w:val="multilevel"/>
    <w:tmpl w:val="0000000C"/>
    <w:lvl w:ilvl="0" w:tentative="0">
      <w:start w:val="1"/>
      <w:numFmt w:val="decimal"/>
      <w:pStyle w:val="3"/>
      <w:lvlText w:val="%1"/>
      <w:lvlJc w:val="left"/>
      <w:pPr>
        <w:tabs>
          <w:tab w:val="left" w:pos="-992"/>
        </w:tabs>
        <w:ind w:left="-992" w:firstLine="0"/>
      </w:pPr>
      <w:rPr>
        <w:rFonts w:hint="eastAsia"/>
        <w:sz w:val="28"/>
      </w:rPr>
    </w:lvl>
    <w:lvl w:ilvl="1" w:tentative="0">
      <w:start w:val="1"/>
      <w:numFmt w:val="decimal"/>
      <w:pStyle w:val="83"/>
      <w:lvlText w:val="%1.%2"/>
      <w:lvlJc w:val="left"/>
      <w:pPr>
        <w:tabs>
          <w:tab w:val="left" w:pos="0"/>
        </w:tabs>
        <w:ind w:left="0" w:firstLine="0"/>
      </w:pPr>
      <w:rPr>
        <w:rFonts w:hint="eastAsia"/>
      </w:rPr>
    </w:lvl>
    <w:lvl w:ilvl="2" w:tentative="0">
      <w:start w:val="1"/>
      <w:numFmt w:val="decimal"/>
      <w:lvlText w:val="%1.%2.%3"/>
      <w:lvlJc w:val="left"/>
      <w:pPr>
        <w:tabs>
          <w:tab w:val="left" w:pos="720"/>
        </w:tabs>
        <w:ind w:left="-864" w:firstLine="864"/>
      </w:pPr>
      <w:rPr>
        <w:rFonts w:hint="eastAsia"/>
        <w:b/>
        <w:i w:val="0"/>
      </w:rPr>
    </w:lvl>
    <w:lvl w:ilvl="3" w:tentative="0">
      <w:start w:val="1"/>
      <w:numFmt w:val="decimal"/>
      <w:lvlText w:val="%1.%2.%3.%4"/>
      <w:lvlJc w:val="left"/>
      <w:pPr>
        <w:tabs>
          <w:tab w:val="left" w:pos="1931"/>
        </w:tabs>
        <w:ind w:left="1559" w:hanging="708"/>
      </w:pPr>
      <w:rPr>
        <w:rFonts w:hint="eastAsia"/>
      </w:rPr>
    </w:lvl>
    <w:lvl w:ilvl="4" w:tentative="0">
      <w:start w:val="1"/>
      <w:numFmt w:val="decimal"/>
      <w:lvlText w:val="%1.%2.%3.%4.%5"/>
      <w:lvlJc w:val="left"/>
      <w:pPr>
        <w:tabs>
          <w:tab w:val="left" w:pos="2716"/>
        </w:tabs>
        <w:ind w:left="2126" w:hanging="850"/>
      </w:pPr>
      <w:rPr>
        <w:rFonts w:hint="eastAsia"/>
      </w:rPr>
    </w:lvl>
    <w:lvl w:ilvl="5" w:tentative="0">
      <w:start w:val="1"/>
      <w:numFmt w:val="decimal"/>
      <w:lvlText w:val="%1.%2.%3.%4.%5.%6"/>
      <w:lvlJc w:val="left"/>
      <w:pPr>
        <w:tabs>
          <w:tab w:val="left" w:pos="3141"/>
        </w:tabs>
        <w:ind w:left="2835" w:hanging="1134"/>
      </w:pPr>
      <w:rPr>
        <w:rFonts w:hint="eastAsia"/>
      </w:rPr>
    </w:lvl>
    <w:lvl w:ilvl="6" w:tentative="0">
      <w:start w:val="1"/>
      <w:numFmt w:val="decimal"/>
      <w:lvlText w:val="%1.%2.%3.%4.%5.%6.%7"/>
      <w:lvlJc w:val="left"/>
      <w:pPr>
        <w:tabs>
          <w:tab w:val="left" w:pos="3926"/>
        </w:tabs>
        <w:ind w:left="3402" w:hanging="1276"/>
      </w:pPr>
      <w:rPr>
        <w:rFonts w:hint="eastAsia"/>
      </w:rPr>
    </w:lvl>
    <w:lvl w:ilvl="7" w:tentative="0">
      <w:start w:val="1"/>
      <w:numFmt w:val="decimal"/>
      <w:lvlText w:val="%1.%2.%3.%4.%5.%6.%7.%8"/>
      <w:lvlJc w:val="left"/>
      <w:pPr>
        <w:tabs>
          <w:tab w:val="left" w:pos="4711"/>
        </w:tabs>
        <w:ind w:left="3969" w:hanging="1418"/>
      </w:pPr>
      <w:rPr>
        <w:rFonts w:hint="eastAsia"/>
      </w:rPr>
    </w:lvl>
    <w:lvl w:ilvl="8" w:tentative="0">
      <w:start w:val="1"/>
      <w:numFmt w:val="decimal"/>
      <w:lvlText w:val="%1.%2.%3.%4.%5.%6.%7.%8.%9"/>
      <w:lvlJc w:val="left"/>
      <w:pPr>
        <w:tabs>
          <w:tab w:val="left" w:pos="5137"/>
        </w:tabs>
        <w:ind w:left="4677" w:hanging="1700"/>
      </w:pPr>
      <w:rPr>
        <w:rFonts w:hint="eastAsia"/>
      </w:rPr>
    </w:lvl>
  </w:abstractNum>
  <w:abstractNum w:abstractNumId="5">
    <w:nsid w:val="642229D3"/>
    <w:multiLevelType w:val="multilevel"/>
    <w:tmpl w:val="642229D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lMjQ2ZDhlYzE4MDY0YWE5ZDdmODAyNWNkM2M4ZWIifQ=="/>
  </w:docVars>
  <w:rsids>
    <w:rsidRoot w:val="00172A27"/>
    <w:rsid w:val="000049BF"/>
    <w:rsid w:val="000068D0"/>
    <w:rsid w:val="00007028"/>
    <w:rsid w:val="0001018B"/>
    <w:rsid w:val="0001120F"/>
    <w:rsid w:val="00011713"/>
    <w:rsid w:val="00012B81"/>
    <w:rsid w:val="0001319C"/>
    <w:rsid w:val="00014296"/>
    <w:rsid w:val="00014430"/>
    <w:rsid w:val="00016C0B"/>
    <w:rsid w:val="00017B3B"/>
    <w:rsid w:val="00021AF9"/>
    <w:rsid w:val="00030812"/>
    <w:rsid w:val="00032105"/>
    <w:rsid w:val="0003500B"/>
    <w:rsid w:val="00036BE7"/>
    <w:rsid w:val="000405B2"/>
    <w:rsid w:val="00041307"/>
    <w:rsid w:val="00042575"/>
    <w:rsid w:val="000443F9"/>
    <w:rsid w:val="00045C26"/>
    <w:rsid w:val="00046D50"/>
    <w:rsid w:val="000475E3"/>
    <w:rsid w:val="00051E19"/>
    <w:rsid w:val="00052B6E"/>
    <w:rsid w:val="00053215"/>
    <w:rsid w:val="00054575"/>
    <w:rsid w:val="00054C3D"/>
    <w:rsid w:val="00055C35"/>
    <w:rsid w:val="0005707B"/>
    <w:rsid w:val="00062C08"/>
    <w:rsid w:val="000657F4"/>
    <w:rsid w:val="000677F7"/>
    <w:rsid w:val="00070A11"/>
    <w:rsid w:val="00074330"/>
    <w:rsid w:val="00076F6C"/>
    <w:rsid w:val="00081967"/>
    <w:rsid w:val="00082725"/>
    <w:rsid w:val="0008500A"/>
    <w:rsid w:val="0008609A"/>
    <w:rsid w:val="000972C9"/>
    <w:rsid w:val="000A7283"/>
    <w:rsid w:val="000B11E7"/>
    <w:rsid w:val="000B4986"/>
    <w:rsid w:val="000B6907"/>
    <w:rsid w:val="000C053B"/>
    <w:rsid w:val="000C1E9B"/>
    <w:rsid w:val="000C293A"/>
    <w:rsid w:val="000C2E51"/>
    <w:rsid w:val="000C4469"/>
    <w:rsid w:val="000C5A82"/>
    <w:rsid w:val="000C6168"/>
    <w:rsid w:val="000C7572"/>
    <w:rsid w:val="000D33B0"/>
    <w:rsid w:val="000D7F3F"/>
    <w:rsid w:val="000E03E6"/>
    <w:rsid w:val="000E0823"/>
    <w:rsid w:val="000E1FB1"/>
    <w:rsid w:val="000E28A6"/>
    <w:rsid w:val="000E657E"/>
    <w:rsid w:val="000F3355"/>
    <w:rsid w:val="000F4931"/>
    <w:rsid w:val="00100EE2"/>
    <w:rsid w:val="00101878"/>
    <w:rsid w:val="00102DB8"/>
    <w:rsid w:val="001105B1"/>
    <w:rsid w:val="00110E6C"/>
    <w:rsid w:val="00113DF9"/>
    <w:rsid w:val="001211B7"/>
    <w:rsid w:val="00121A35"/>
    <w:rsid w:val="00122BAF"/>
    <w:rsid w:val="001243C7"/>
    <w:rsid w:val="00124608"/>
    <w:rsid w:val="0012557D"/>
    <w:rsid w:val="00125E4D"/>
    <w:rsid w:val="0013116D"/>
    <w:rsid w:val="0013142D"/>
    <w:rsid w:val="00131FC8"/>
    <w:rsid w:val="001337C9"/>
    <w:rsid w:val="00133C16"/>
    <w:rsid w:val="001409DF"/>
    <w:rsid w:val="001426AC"/>
    <w:rsid w:val="00144FE5"/>
    <w:rsid w:val="0014661D"/>
    <w:rsid w:val="00146E81"/>
    <w:rsid w:val="001523CF"/>
    <w:rsid w:val="00152B56"/>
    <w:rsid w:val="00152BF0"/>
    <w:rsid w:val="001552CA"/>
    <w:rsid w:val="00162EA8"/>
    <w:rsid w:val="001712E3"/>
    <w:rsid w:val="001724AE"/>
    <w:rsid w:val="001736B7"/>
    <w:rsid w:val="00174EF8"/>
    <w:rsid w:val="00174FA6"/>
    <w:rsid w:val="00175733"/>
    <w:rsid w:val="00180E29"/>
    <w:rsid w:val="00180FE9"/>
    <w:rsid w:val="00182D96"/>
    <w:rsid w:val="0018558F"/>
    <w:rsid w:val="001878B2"/>
    <w:rsid w:val="0019034C"/>
    <w:rsid w:val="00190C8E"/>
    <w:rsid w:val="0019139E"/>
    <w:rsid w:val="001A122C"/>
    <w:rsid w:val="001A2666"/>
    <w:rsid w:val="001A2CF3"/>
    <w:rsid w:val="001A5565"/>
    <w:rsid w:val="001A7E7B"/>
    <w:rsid w:val="001B2BA6"/>
    <w:rsid w:val="001B4F62"/>
    <w:rsid w:val="001B5EE9"/>
    <w:rsid w:val="001C15C6"/>
    <w:rsid w:val="001C41EA"/>
    <w:rsid w:val="001C6CD8"/>
    <w:rsid w:val="001C7C4D"/>
    <w:rsid w:val="001D5445"/>
    <w:rsid w:val="001D625F"/>
    <w:rsid w:val="001E01BA"/>
    <w:rsid w:val="001E0BBA"/>
    <w:rsid w:val="001E1F7B"/>
    <w:rsid w:val="001E3B8A"/>
    <w:rsid w:val="001E4BE0"/>
    <w:rsid w:val="001F0814"/>
    <w:rsid w:val="001F2E3E"/>
    <w:rsid w:val="001F3E47"/>
    <w:rsid w:val="00200E0C"/>
    <w:rsid w:val="00201C6C"/>
    <w:rsid w:val="002117CE"/>
    <w:rsid w:val="00213004"/>
    <w:rsid w:val="00216069"/>
    <w:rsid w:val="00217013"/>
    <w:rsid w:val="00222DED"/>
    <w:rsid w:val="00224F6B"/>
    <w:rsid w:val="00225FBB"/>
    <w:rsid w:val="00227A6A"/>
    <w:rsid w:val="00231691"/>
    <w:rsid w:val="00235324"/>
    <w:rsid w:val="00237D39"/>
    <w:rsid w:val="00241205"/>
    <w:rsid w:val="0024379A"/>
    <w:rsid w:val="00244145"/>
    <w:rsid w:val="002459FA"/>
    <w:rsid w:val="002478AE"/>
    <w:rsid w:val="00250EE7"/>
    <w:rsid w:val="00251022"/>
    <w:rsid w:val="00251A73"/>
    <w:rsid w:val="002521AA"/>
    <w:rsid w:val="002552A5"/>
    <w:rsid w:val="00255A9D"/>
    <w:rsid w:val="00255C54"/>
    <w:rsid w:val="00261E98"/>
    <w:rsid w:val="00265237"/>
    <w:rsid w:val="00270693"/>
    <w:rsid w:val="00270C4B"/>
    <w:rsid w:val="00272B5B"/>
    <w:rsid w:val="0027337A"/>
    <w:rsid w:val="00276595"/>
    <w:rsid w:val="002765FD"/>
    <w:rsid w:val="002772D1"/>
    <w:rsid w:val="00277BB0"/>
    <w:rsid w:val="00280247"/>
    <w:rsid w:val="0028489A"/>
    <w:rsid w:val="00285E5C"/>
    <w:rsid w:val="002862C0"/>
    <w:rsid w:val="002876A6"/>
    <w:rsid w:val="0029594D"/>
    <w:rsid w:val="00296050"/>
    <w:rsid w:val="002961FA"/>
    <w:rsid w:val="002A28CC"/>
    <w:rsid w:val="002A5FF9"/>
    <w:rsid w:val="002A7B31"/>
    <w:rsid w:val="002B0A93"/>
    <w:rsid w:val="002B6E03"/>
    <w:rsid w:val="002B78AD"/>
    <w:rsid w:val="002C48F5"/>
    <w:rsid w:val="002D0DF6"/>
    <w:rsid w:val="002D2F00"/>
    <w:rsid w:val="002D3DB0"/>
    <w:rsid w:val="002D4327"/>
    <w:rsid w:val="002D45D7"/>
    <w:rsid w:val="002D4EEB"/>
    <w:rsid w:val="002D53F3"/>
    <w:rsid w:val="002E423C"/>
    <w:rsid w:val="002E4AA9"/>
    <w:rsid w:val="002E4D0D"/>
    <w:rsid w:val="002E5DF4"/>
    <w:rsid w:val="002F516C"/>
    <w:rsid w:val="002F600D"/>
    <w:rsid w:val="002F6D88"/>
    <w:rsid w:val="002F7E71"/>
    <w:rsid w:val="00301E19"/>
    <w:rsid w:val="00304F9A"/>
    <w:rsid w:val="00305992"/>
    <w:rsid w:val="003059A3"/>
    <w:rsid w:val="003060D8"/>
    <w:rsid w:val="0030752A"/>
    <w:rsid w:val="00307FD4"/>
    <w:rsid w:val="00315DC3"/>
    <w:rsid w:val="0032181C"/>
    <w:rsid w:val="00321F01"/>
    <w:rsid w:val="00322190"/>
    <w:rsid w:val="00322597"/>
    <w:rsid w:val="0032281C"/>
    <w:rsid w:val="003276EB"/>
    <w:rsid w:val="00330B10"/>
    <w:rsid w:val="003343F6"/>
    <w:rsid w:val="003362E2"/>
    <w:rsid w:val="003371D6"/>
    <w:rsid w:val="00337F54"/>
    <w:rsid w:val="003454F0"/>
    <w:rsid w:val="00351064"/>
    <w:rsid w:val="00355DBB"/>
    <w:rsid w:val="00357DCA"/>
    <w:rsid w:val="00357E72"/>
    <w:rsid w:val="00360CE8"/>
    <w:rsid w:val="0036217A"/>
    <w:rsid w:val="00363FDC"/>
    <w:rsid w:val="003643A5"/>
    <w:rsid w:val="00364529"/>
    <w:rsid w:val="0036544D"/>
    <w:rsid w:val="003707DB"/>
    <w:rsid w:val="00370FD6"/>
    <w:rsid w:val="00374BD7"/>
    <w:rsid w:val="00384F8D"/>
    <w:rsid w:val="0038568D"/>
    <w:rsid w:val="00387B12"/>
    <w:rsid w:val="003915C6"/>
    <w:rsid w:val="0039789F"/>
    <w:rsid w:val="003A0D5C"/>
    <w:rsid w:val="003A15EA"/>
    <w:rsid w:val="003A1F36"/>
    <w:rsid w:val="003A2CD4"/>
    <w:rsid w:val="003A7C0F"/>
    <w:rsid w:val="003B069F"/>
    <w:rsid w:val="003B531A"/>
    <w:rsid w:val="003C24D4"/>
    <w:rsid w:val="003C276F"/>
    <w:rsid w:val="003C3F62"/>
    <w:rsid w:val="003C4F5A"/>
    <w:rsid w:val="003D02DB"/>
    <w:rsid w:val="003D04E2"/>
    <w:rsid w:val="003D24C9"/>
    <w:rsid w:val="003D2B9F"/>
    <w:rsid w:val="003D2C81"/>
    <w:rsid w:val="003D42D4"/>
    <w:rsid w:val="003D6121"/>
    <w:rsid w:val="003D782C"/>
    <w:rsid w:val="003E0575"/>
    <w:rsid w:val="003E1D14"/>
    <w:rsid w:val="003E1E94"/>
    <w:rsid w:val="003E3F45"/>
    <w:rsid w:val="003E5C1A"/>
    <w:rsid w:val="003F3E1A"/>
    <w:rsid w:val="003F43C0"/>
    <w:rsid w:val="003F640B"/>
    <w:rsid w:val="003F656A"/>
    <w:rsid w:val="004032A6"/>
    <w:rsid w:val="00403320"/>
    <w:rsid w:val="00412387"/>
    <w:rsid w:val="00412CCE"/>
    <w:rsid w:val="00414939"/>
    <w:rsid w:val="00414F37"/>
    <w:rsid w:val="004156C5"/>
    <w:rsid w:val="00415A2C"/>
    <w:rsid w:val="00417480"/>
    <w:rsid w:val="004201C8"/>
    <w:rsid w:val="00424CE6"/>
    <w:rsid w:val="00427469"/>
    <w:rsid w:val="004319D9"/>
    <w:rsid w:val="00433EE8"/>
    <w:rsid w:val="004375CA"/>
    <w:rsid w:val="00441275"/>
    <w:rsid w:val="00447614"/>
    <w:rsid w:val="00451249"/>
    <w:rsid w:val="00454830"/>
    <w:rsid w:val="004622DE"/>
    <w:rsid w:val="004627B3"/>
    <w:rsid w:val="00465244"/>
    <w:rsid w:val="0046630E"/>
    <w:rsid w:val="00473025"/>
    <w:rsid w:val="00474885"/>
    <w:rsid w:val="004816FA"/>
    <w:rsid w:val="00484391"/>
    <w:rsid w:val="00486487"/>
    <w:rsid w:val="00492A13"/>
    <w:rsid w:val="0049527E"/>
    <w:rsid w:val="004A3D49"/>
    <w:rsid w:val="004A48C6"/>
    <w:rsid w:val="004B1FB9"/>
    <w:rsid w:val="004B2784"/>
    <w:rsid w:val="004B2D17"/>
    <w:rsid w:val="004C1CD4"/>
    <w:rsid w:val="004C2AF9"/>
    <w:rsid w:val="004C372E"/>
    <w:rsid w:val="004C5CA0"/>
    <w:rsid w:val="004D06EA"/>
    <w:rsid w:val="004D0CFC"/>
    <w:rsid w:val="004E2704"/>
    <w:rsid w:val="004E32D6"/>
    <w:rsid w:val="004E44EB"/>
    <w:rsid w:val="004E5D65"/>
    <w:rsid w:val="004F1693"/>
    <w:rsid w:val="004F25B3"/>
    <w:rsid w:val="004F44E4"/>
    <w:rsid w:val="004F6268"/>
    <w:rsid w:val="004F652C"/>
    <w:rsid w:val="004F7715"/>
    <w:rsid w:val="0050259A"/>
    <w:rsid w:val="00504ADE"/>
    <w:rsid w:val="00507AD8"/>
    <w:rsid w:val="00507FEA"/>
    <w:rsid w:val="00512840"/>
    <w:rsid w:val="00515B49"/>
    <w:rsid w:val="00521471"/>
    <w:rsid w:val="00521486"/>
    <w:rsid w:val="00521837"/>
    <w:rsid w:val="005221BB"/>
    <w:rsid w:val="005244F5"/>
    <w:rsid w:val="00527FC7"/>
    <w:rsid w:val="00530893"/>
    <w:rsid w:val="00531BD4"/>
    <w:rsid w:val="00533299"/>
    <w:rsid w:val="0053453F"/>
    <w:rsid w:val="00543F53"/>
    <w:rsid w:val="005477F8"/>
    <w:rsid w:val="00550B34"/>
    <w:rsid w:val="00551CA5"/>
    <w:rsid w:val="00553A02"/>
    <w:rsid w:val="00563E2C"/>
    <w:rsid w:val="005640E2"/>
    <w:rsid w:val="00565FF1"/>
    <w:rsid w:val="00566BF1"/>
    <w:rsid w:val="0057027A"/>
    <w:rsid w:val="00572DB0"/>
    <w:rsid w:val="00576DE3"/>
    <w:rsid w:val="005844A5"/>
    <w:rsid w:val="005848DF"/>
    <w:rsid w:val="005853B7"/>
    <w:rsid w:val="005911C9"/>
    <w:rsid w:val="0059260B"/>
    <w:rsid w:val="00593E4B"/>
    <w:rsid w:val="005A0DA7"/>
    <w:rsid w:val="005A2497"/>
    <w:rsid w:val="005A4EE4"/>
    <w:rsid w:val="005A7DC4"/>
    <w:rsid w:val="005B568E"/>
    <w:rsid w:val="005C1F84"/>
    <w:rsid w:val="005C3F0F"/>
    <w:rsid w:val="005C4509"/>
    <w:rsid w:val="005C5D93"/>
    <w:rsid w:val="005C6A33"/>
    <w:rsid w:val="005C7803"/>
    <w:rsid w:val="005D1963"/>
    <w:rsid w:val="005D197E"/>
    <w:rsid w:val="005E24E2"/>
    <w:rsid w:val="005E3007"/>
    <w:rsid w:val="005E3878"/>
    <w:rsid w:val="005E51A0"/>
    <w:rsid w:val="005E5E31"/>
    <w:rsid w:val="005F3ECB"/>
    <w:rsid w:val="005F4BF0"/>
    <w:rsid w:val="005F6DB1"/>
    <w:rsid w:val="0060090F"/>
    <w:rsid w:val="006011F6"/>
    <w:rsid w:val="0061372A"/>
    <w:rsid w:val="00617F97"/>
    <w:rsid w:val="0062656B"/>
    <w:rsid w:val="006278DD"/>
    <w:rsid w:val="00634B2C"/>
    <w:rsid w:val="00640FB3"/>
    <w:rsid w:val="00646C80"/>
    <w:rsid w:val="006530C4"/>
    <w:rsid w:val="0065476B"/>
    <w:rsid w:val="00657EEE"/>
    <w:rsid w:val="00661905"/>
    <w:rsid w:val="006632E8"/>
    <w:rsid w:val="006662DA"/>
    <w:rsid w:val="00672D1A"/>
    <w:rsid w:val="00674743"/>
    <w:rsid w:val="00675DE1"/>
    <w:rsid w:val="00676DDB"/>
    <w:rsid w:val="00680A49"/>
    <w:rsid w:val="00680E3F"/>
    <w:rsid w:val="006838BA"/>
    <w:rsid w:val="00686EA3"/>
    <w:rsid w:val="00691294"/>
    <w:rsid w:val="006913EB"/>
    <w:rsid w:val="00697FF9"/>
    <w:rsid w:val="006A3621"/>
    <w:rsid w:val="006A7465"/>
    <w:rsid w:val="006B2D12"/>
    <w:rsid w:val="006C46CE"/>
    <w:rsid w:val="006C6B1C"/>
    <w:rsid w:val="006C78BC"/>
    <w:rsid w:val="006D43C0"/>
    <w:rsid w:val="006D4AC9"/>
    <w:rsid w:val="006D6CD6"/>
    <w:rsid w:val="006E045C"/>
    <w:rsid w:val="006E4B4D"/>
    <w:rsid w:val="006F59EC"/>
    <w:rsid w:val="007000E2"/>
    <w:rsid w:val="00700EC7"/>
    <w:rsid w:val="007030F5"/>
    <w:rsid w:val="00703C49"/>
    <w:rsid w:val="00714A2E"/>
    <w:rsid w:val="0071526E"/>
    <w:rsid w:val="00715CC2"/>
    <w:rsid w:val="0071651A"/>
    <w:rsid w:val="00721788"/>
    <w:rsid w:val="007259EE"/>
    <w:rsid w:val="00727288"/>
    <w:rsid w:val="007364D6"/>
    <w:rsid w:val="0074505A"/>
    <w:rsid w:val="007469D3"/>
    <w:rsid w:val="00750DDD"/>
    <w:rsid w:val="00753E25"/>
    <w:rsid w:val="00754613"/>
    <w:rsid w:val="007564B6"/>
    <w:rsid w:val="00760A13"/>
    <w:rsid w:val="007626D5"/>
    <w:rsid w:val="00765BB0"/>
    <w:rsid w:val="007662FA"/>
    <w:rsid w:val="00766BAA"/>
    <w:rsid w:val="00771177"/>
    <w:rsid w:val="00771B5A"/>
    <w:rsid w:val="00773C8B"/>
    <w:rsid w:val="00776007"/>
    <w:rsid w:val="00776B46"/>
    <w:rsid w:val="007840EF"/>
    <w:rsid w:val="00785561"/>
    <w:rsid w:val="00785DEF"/>
    <w:rsid w:val="00787767"/>
    <w:rsid w:val="007905CD"/>
    <w:rsid w:val="0079182F"/>
    <w:rsid w:val="00794AB0"/>
    <w:rsid w:val="007A0D10"/>
    <w:rsid w:val="007A14D9"/>
    <w:rsid w:val="007A5214"/>
    <w:rsid w:val="007A55CC"/>
    <w:rsid w:val="007A7039"/>
    <w:rsid w:val="007B41EE"/>
    <w:rsid w:val="007B4780"/>
    <w:rsid w:val="007B4DEE"/>
    <w:rsid w:val="007C095C"/>
    <w:rsid w:val="007C15A6"/>
    <w:rsid w:val="007C19F3"/>
    <w:rsid w:val="007C48DE"/>
    <w:rsid w:val="007C51F1"/>
    <w:rsid w:val="007C7F30"/>
    <w:rsid w:val="007D3548"/>
    <w:rsid w:val="007D7F28"/>
    <w:rsid w:val="007E098A"/>
    <w:rsid w:val="007E0B14"/>
    <w:rsid w:val="007E0EBF"/>
    <w:rsid w:val="007E297F"/>
    <w:rsid w:val="007E30D3"/>
    <w:rsid w:val="007E344A"/>
    <w:rsid w:val="007F08DB"/>
    <w:rsid w:val="007F23CD"/>
    <w:rsid w:val="00800534"/>
    <w:rsid w:val="008025FD"/>
    <w:rsid w:val="00810BCC"/>
    <w:rsid w:val="00815511"/>
    <w:rsid w:val="00817C2E"/>
    <w:rsid w:val="0082018C"/>
    <w:rsid w:val="00821238"/>
    <w:rsid w:val="00823526"/>
    <w:rsid w:val="00824AD9"/>
    <w:rsid w:val="008250E7"/>
    <w:rsid w:val="00825171"/>
    <w:rsid w:val="00825A0C"/>
    <w:rsid w:val="008262C4"/>
    <w:rsid w:val="0082645F"/>
    <w:rsid w:val="008276B4"/>
    <w:rsid w:val="00830CA0"/>
    <w:rsid w:val="0083468D"/>
    <w:rsid w:val="00842074"/>
    <w:rsid w:val="0084399A"/>
    <w:rsid w:val="0085416B"/>
    <w:rsid w:val="00855F60"/>
    <w:rsid w:val="008638CE"/>
    <w:rsid w:val="00865A2F"/>
    <w:rsid w:val="00865ACB"/>
    <w:rsid w:val="00865D46"/>
    <w:rsid w:val="008669D4"/>
    <w:rsid w:val="00866C15"/>
    <w:rsid w:val="008678E3"/>
    <w:rsid w:val="00867BA9"/>
    <w:rsid w:val="008753D5"/>
    <w:rsid w:val="00885810"/>
    <w:rsid w:val="00896A9C"/>
    <w:rsid w:val="008974D9"/>
    <w:rsid w:val="008A032C"/>
    <w:rsid w:val="008A0F2F"/>
    <w:rsid w:val="008A3E72"/>
    <w:rsid w:val="008A7757"/>
    <w:rsid w:val="008B2BE9"/>
    <w:rsid w:val="008B36B4"/>
    <w:rsid w:val="008B6D57"/>
    <w:rsid w:val="008C34D8"/>
    <w:rsid w:val="008C6C8E"/>
    <w:rsid w:val="008C7D0A"/>
    <w:rsid w:val="008D00D3"/>
    <w:rsid w:val="008D5AF0"/>
    <w:rsid w:val="008D7460"/>
    <w:rsid w:val="008E457A"/>
    <w:rsid w:val="008F0B5C"/>
    <w:rsid w:val="008F6F39"/>
    <w:rsid w:val="00901E27"/>
    <w:rsid w:val="00907B37"/>
    <w:rsid w:val="00907DA5"/>
    <w:rsid w:val="009105C7"/>
    <w:rsid w:val="009173FC"/>
    <w:rsid w:val="00917558"/>
    <w:rsid w:val="00922E06"/>
    <w:rsid w:val="00925A43"/>
    <w:rsid w:val="00932355"/>
    <w:rsid w:val="009355A3"/>
    <w:rsid w:val="009372CB"/>
    <w:rsid w:val="00941139"/>
    <w:rsid w:val="009479B3"/>
    <w:rsid w:val="009516FC"/>
    <w:rsid w:val="0095282D"/>
    <w:rsid w:val="009536B4"/>
    <w:rsid w:val="0095433C"/>
    <w:rsid w:val="00955CD3"/>
    <w:rsid w:val="0095601B"/>
    <w:rsid w:val="009567B1"/>
    <w:rsid w:val="00967A47"/>
    <w:rsid w:val="00972CFC"/>
    <w:rsid w:val="00976371"/>
    <w:rsid w:val="0098239B"/>
    <w:rsid w:val="00984CE7"/>
    <w:rsid w:val="00986EBE"/>
    <w:rsid w:val="00991CFC"/>
    <w:rsid w:val="009972F9"/>
    <w:rsid w:val="009A35CA"/>
    <w:rsid w:val="009A5D82"/>
    <w:rsid w:val="009A6467"/>
    <w:rsid w:val="009B1504"/>
    <w:rsid w:val="009B24D2"/>
    <w:rsid w:val="009B32CC"/>
    <w:rsid w:val="009B39B7"/>
    <w:rsid w:val="009B53FD"/>
    <w:rsid w:val="009B6CEC"/>
    <w:rsid w:val="009C0A16"/>
    <w:rsid w:val="009C460F"/>
    <w:rsid w:val="009C6C59"/>
    <w:rsid w:val="009D0319"/>
    <w:rsid w:val="009E233B"/>
    <w:rsid w:val="009E7D95"/>
    <w:rsid w:val="009F2629"/>
    <w:rsid w:val="009F32DD"/>
    <w:rsid w:val="009F6920"/>
    <w:rsid w:val="00A02E18"/>
    <w:rsid w:val="00A05DBF"/>
    <w:rsid w:val="00A069BD"/>
    <w:rsid w:val="00A16854"/>
    <w:rsid w:val="00A17226"/>
    <w:rsid w:val="00A177DB"/>
    <w:rsid w:val="00A2014C"/>
    <w:rsid w:val="00A20792"/>
    <w:rsid w:val="00A24D1D"/>
    <w:rsid w:val="00A26998"/>
    <w:rsid w:val="00A300E8"/>
    <w:rsid w:val="00A308CE"/>
    <w:rsid w:val="00A329B1"/>
    <w:rsid w:val="00A33867"/>
    <w:rsid w:val="00A33D60"/>
    <w:rsid w:val="00A35014"/>
    <w:rsid w:val="00A37CB4"/>
    <w:rsid w:val="00A4124B"/>
    <w:rsid w:val="00A4651B"/>
    <w:rsid w:val="00A465E9"/>
    <w:rsid w:val="00A51646"/>
    <w:rsid w:val="00A53C38"/>
    <w:rsid w:val="00A6426B"/>
    <w:rsid w:val="00A65878"/>
    <w:rsid w:val="00A66644"/>
    <w:rsid w:val="00A67B08"/>
    <w:rsid w:val="00A703A1"/>
    <w:rsid w:val="00A72A06"/>
    <w:rsid w:val="00A72E48"/>
    <w:rsid w:val="00A80FCD"/>
    <w:rsid w:val="00A87565"/>
    <w:rsid w:val="00A90A9C"/>
    <w:rsid w:val="00A91FEC"/>
    <w:rsid w:val="00A929C8"/>
    <w:rsid w:val="00A94025"/>
    <w:rsid w:val="00A95EBA"/>
    <w:rsid w:val="00A96963"/>
    <w:rsid w:val="00AA22B2"/>
    <w:rsid w:val="00AA41DE"/>
    <w:rsid w:val="00AA51A9"/>
    <w:rsid w:val="00AB4BD6"/>
    <w:rsid w:val="00AB4F75"/>
    <w:rsid w:val="00AB5AD8"/>
    <w:rsid w:val="00AC044A"/>
    <w:rsid w:val="00AC1ADF"/>
    <w:rsid w:val="00AC2731"/>
    <w:rsid w:val="00AC4248"/>
    <w:rsid w:val="00AC5370"/>
    <w:rsid w:val="00AD2F95"/>
    <w:rsid w:val="00AD3451"/>
    <w:rsid w:val="00AD74DF"/>
    <w:rsid w:val="00AE0B70"/>
    <w:rsid w:val="00AE1D6E"/>
    <w:rsid w:val="00AE288A"/>
    <w:rsid w:val="00AE7B04"/>
    <w:rsid w:val="00AF1160"/>
    <w:rsid w:val="00AF30C8"/>
    <w:rsid w:val="00AF4A90"/>
    <w:rsid w:val="00AF54ED"/>
    <w:rsid w:val="00AF63A5"/>
    <w:rsid w:val="00B01C79"/>
    <w:rsid w:val="00B03D9D"/>
    <w:rsid w:val="00B0481C"/>
    <w:rsid w:val="00B04F7C"/>
    <w:rsid w:val="00B05DAE"/>
    <w:rsid w:val="00B06114"/>
    <w:rsid w:val="00B12784"/>
    <w:rsid w:val="00B13FAC"/>
    <w:rsid w:val="00B17A94"/>
    <w:rsid w:val="00B22945"/>
    <w:rsid w:val="00B231D9"/>
    <w:rsid w:val="00B23897"/>
    <w:rsid w:val="00B2538D"/>
    <w:rsid w:val="00B25678"/>
    <w:rsid w:val="00B314FC"/>
    <w:rsid w:val="00B32B26"/>
    <w:rsid w:val="00B335E4"/>
    <w:rsid w:val="00B3371B"/>
    <w:rsid w:val="00B357F8"/>
    <w:rsid w:val="00B35FE0"/>
    <w:rsid w:val="00B41E98"/>
    <w:rsid w:val="00B455BB"/>
    <w:rsid w:val="00B462E9"/>
    <w:rsid w:val="00B51540"/>
    <w:rsid w:val="00B51E6F"/>
    <w:rsid w:val="00B5309F"/>
    <w:rsid w:val="00B54220"/>
    <w:rsid w:val="00B55EF0"/>
    <w:rsid w:val="00B56B75"/>
    <w:rsid w:val="00B61906"/>
    <w:rsid w:val="00B645A4"/>
    <w:rsid w:val="00B66D09"/>
    <w:rsid w:val="00B674BC"/>
    <w:rsid w:val="00B76E43"/>
    <w:rsid w:val="00B77B02"/>
    <w:rsid w:val="00B77B96"/>
    <w:rsid w:val="00B8168A"/>
    <w:rsid w:val="00B82572"/>
    <w:rsid w:val="00B85A92"/>
    <w:rsid w:val="00B90B4D"/>
    <w:rsid w:val="00B94030"/>
    <w:rsid w:val="00B96A4E"/>
    <w:rsid w:val="00B979F8"/>
    <w:rsid w:val="00BA54FF"/>
    <w:rsid w:val="00BB11B6"/>
    <w:rsid w:val="00BC5C08"/>
    <w:rsid w:val="00BD0424"/>
    <w:rsid w:val="00BD324F"/>
    <w:rsid w:val="00BE6FB6"/>
    <w:rsid w:val="00BE7212"/>
    <w:rsid w:val="00BF4B7F"/>
    <w:rsid w:val="00BF7ED7"/>
    <w:rsid w:val="00C008D9"/>
    <w:rsid w:val="00C00BB3"/>
    <w:rsid w:val="00C0130C"/>
    <w:rsid w:val="00C03BF9"/>
    <w:rsid w:val="00C1293F"/>
    <w:rsid w:val="00C147F5"/>
    <w:rsid w:val="00C16C85"/>
    <w:rsid w:val="00C16FF3"/>
    <w:rsid w:val="00C17F4B"/>
    <w:rsid w:val="00C21798"/>
    <w:rsid w:val="00C221DB"/>
    <w:rsid w:val="00C2454A"/>
    <w:rsid w:val="00C24AB4"/>
    <w:rsid w:val="00C26BC9"/>
    <w:rsid w:val="00C30A7B"/>
    <w:rsid w:val="00C31930"/>
    <w:rsid w:val="00C31A37"/>
    <w:rsid w:val="00C3296C"/>
    <w:rsid w:val="00C3323D"/>
    <w:rsid w:val="00C3481F"/>
    <w:rsid w:val="00C35F51"/>
    <w:rsid w:val="00C44A9B"/>
    <w:rsid w:val="00C44F6D"/>
    <w:rsid w:val="00C51A2A"/>
    <w:rsid w:val="00C524D8"/>
    <w:rsid w:val="00C573A5"/>
    <w:rsid w:val="00C57D3F"/>
    <w:rsid w:val="00C60F04"/>
    <w:rsid w:val="00C641F1"/>
    <w:rsid w:val="00C76139"/>
    <w:rsid w:val="00C851FB"/>
    <w:rsid w:val="00C92003"/>
    <w:rsid w:val="00C93FAA"/>
    <w:rsid w:val="00C95EAB"/>
    <w:rsid w:val="00C9614D"/>
    <w:rsid w:val="00C96DF3"/>
    <w:rsid w:val="00CA0368"/>
    <w:rsid w:val="00CA0610"/>
    <w:rsid w:val="00CA1F98"/>
    <w:rsid w:val="00CA44D2"/>
    <w:rsid w:val="00CA55CC"/>
    <w:rsid w:val="00CA6A4B"/>
    <w:rsid w:val="00CA6C5F"/>
    <w:rsid w:val="00CA7903"/>
    <w:rsid w:val="00CB12FA"/>
    <w:rsid w:val="00CB24E4"/>
    <w:rsid w:val="00CB2A19"/>
    <w:rsid w:val="00CB2DB3"/>
    <w:rsid w:val="00CB3BA2"/>
    <w:rsid w:val="00CB5C93"/>
    <w:rsid w:val="00CC0BD1"/>
    <w:rsid w:val="00CC1309"/>
    <w:rsid w:val="00CC184B"/>
    <w:rsid w:val="00CC1B0D"/>
    <w:rsid w:val="00CC2181"/>
    <w:rsid w:val="00CC2536"/>
    <w:rsid w:val="00CC519B"/>
    <w:rsid w:val="00CC632B"/>
    <w:rsid w:val="00CC7751"/>
    <w:rsid w:val="00CD0068"/>
    <w:rsid w:val="00CD59CD"/>
    <w:rsid w:val="00CD67C0"/>
    <w:rsid w:val="00CE0760"/>
    <w:rsid w:val="00CE1031"/>
    <w:rsid w:val="00CE3315"/>
    <w:rsid w:val="00CE4060"/>
    <w:rsid w:val="00CF4BA7"/>
    <w:rsid w:val="00CF6642"/>
    <w:rsid w:val="00CF7067"/>
    <w:rsid w:val="00D0186F"/>
    <w:rsid w:val="00D028D0"/>
    <w:rsid w:val="00D0613E"/>
    <w:rsid w:val="00D07952"/>
    <w:rsid w:val="00D27249"/>
    <w:rsid w:val="00D3021E"/>
    <w:rsid w:val="00D31C77"/>
    <w:rsid w:val="00D32390"/>
    <w:rsid w:val="00D353B8"/>
    <w:rsid w:val="00D36CC9"/>
    <w:rsid w:val="00D401A5"/>
    <w:rsid w:val="00D401B6"/>
    <w:rsid w:val="00D42FC9"/>
    <w:rsid w:val="00D45D2F"/>
    <w:rsid w:val="00D46BCC"/>
    <w:rsid w:val="00D535D7"/>
    <w:rsid w:val="00D6043F"/>
    <w:rsid w:val="00D6260F"/>
    <w:rsid w:val="00D62FFB"/>
    <w:rsid w:val="00D635BD"/>
    <w:rsid w:val="00D63C9F"/>
    <w:rsid w:val="00D70A95"/>
    <w:rsid w:val="00D712DB"/>
    <w:rsid w:val="00D72C28"/>
    <w:rsid w:val="00D81A96"/>
    <w:rsid w:val="00D83D94"/>
    <w:rsid w:val="00D87281"/>
    <w:rsid w:val="00D9061F"/>
    <w:rsid w:val="00D94099"/>
    <w:rsid w:val="00D97367"/>
    <w:rsid w:val="00D97725"/>
    <w:rsid w:val="00D97EC1"/>
    <w:rsid w:val="00DA56D1"/>
    <w:rsid w:val="00DB31AA"/>
    <w:rsid w:val="00DB5BD2"/>
    <w:rsid w:val="00DB7215"/>
    <w:rsid w:val="00DC150B"/>
    <w:rsid w:val="00DC277D"/>
    <w:rsid w:val="00DC304D"/>
    <w:rsid w:val="00DC7ACA"/>
    <w:rsid w:val="00DD135B"/>
    <w:rsid w:val="00DD360D"/>
    <w:rsid w:val="00DD6971"/>
    <w:rsid w:val="00DE1B42"/>
    <w:rsid w:val="00DE533E"/>
    <w:rsid w:val="00DE7281"/>
    <w:rsid w:val="00DF0401"/>
    <w:rsid w:val="00DF188B"/>
    <w:rsid w:val="00DF67D0"/>
    <w:rsid w:val="00DF782B"/>
    <w:rsid w:val="00E01AA5"/>
    <w:rsid w:val="00E023F4"/>
    <w:rsid w:val="00E039A1"/>
    <w:rsid w:val="00E03DAD"/>
    <w:rsid w:val="00E108CB"/>
    <w:rsid w:val="00E12EB3"/>
    <w:rsid w:val="00E1443B"/>
    <w:rsid w:val="00E177B7"/>
    <w:rsid w:val="00E22E40"/>
    <w:rsid w:val="00E3146A"/>
    <w:rsid w:val="00E34B57"/>
    <w:rsid w:val="00E35B28"/>
    <w:rsid w:val="00E440E4"/>
    <w:rsid w:val="00E456F5"/>
    <w:rsid w:val="00E45FB6"/>
    <w:rsid w:val="00E5077E"/>
    <w:rsid w:val="00E52FCB"/>
    <w:rsid w:val="00E53104"/>
    <w:rsid w:val="00E56F2C"/>
    <w:rsid w:val="00E578AE"/>
    <w:rsid w:val="00E63408"/>
    <w:rsid w:val="00E660D6"/>
    <w:rsid w:val="00E83A79"/>
    <w:rsid w:val="00E84A34"/>
    <w:rsid w:val="00E86B54"/>
    <w:rsid w:val="00E870FD"/>
    <w:rsid w:val="00E87F44"/>
    <w:rsid w:val="00E90E8C"/>
    <w:rsid w:val="00E950E0"/>
    <w:rsid w:val="00E976E7"/>
    <w:rsid w:val="00EA3F99"/>
    <w:rsid w:val="00EA7F88"/>
    <w:rsid w:val="00EB053D"/>
    <w:rsid w:val="00EB32F4"/>
    <w:rsid w:val="00EB5B0E"/>
    <w:rsid w:val="00EC0B0C"/>
    <w:rsid w:val="00EC34A8"/>
    <w:rsid w:val="00EC4B43"/>
    <w:rsid w:val="00EC5088"/>
    <w:rsid w:val="00EC7AE0"/>
    <w:rsid w:val="00ED0F7B"/>
    <w:rsid w:val="00ED0F94"/>
    <w:rsid w:val="00ED2C6F"/>
    <w:rsid w:val="00ED4FD1"/>
    <w:rsid w:val="00ED74E4"/>
    <w:rsid w:val="00EE0C05"/>
    <w:rsid w:val="00EE551E"/>
    <w:rsid w:val="00EE5F7F"/>
    <w:rsid w:val="00EE7BA8"/>
    <w:rsid w:val="00EE7CBE"/>
    <w:rsid w:val="00EF0428"/>
    <w:rsid w:val="00EF19F1"/>
    <w:rsid w:val="00EF2D9C"/>
    <w:rsid w:val="00EF315F"/>
    <w:rsid w:val="00EF4606"/>
    <w:rsid w:val="00EF4CC2"/>
    <w:rsid w:val="00EF6773"/>
    <w:rsid w:val="00EF7B5F"/>
    <w:rsid w:val="00F00041"/>
    <w:rsid w:val="00F01D43"/>
    <w:rsid w:val="00F0268D"/>
    <w:rsid w:val="00F03DD4"/>
    <w:rsid w:val="00F04996"/>
    <w:rsid w:val="00F05830"/>
    <w:rsid w:val="00F10B5F"/>
    <w:rsid w:val="00F12D1E"/>
    <w:rsid w:val="00F14B8C"/>
    <w:rsid w:val="00F17A5C"/>
    <w:rsid w:val="00F20C48"/>
    <w:rsid w:val="00F224B7"/>
    <w:rsid w:val="00F22E65"/>
    <w:rsid w:val="00F254FE"/>
    <w:rsid w:val="00F3337E"/>
    <w:rsid w:val="00F33438"/>
    <w:rsid w:val="00F351FA"/>
    <w:rsid w:val="00F355D4"/>
    <w:rsid w:val="00F36FDC"/>
    <w:rsid w:val="00F375CC"/>
    <w:rsid w:val="00F37AA0"/>
    <w:rsid w:val="00F40CFE"/>
    <w:rsid w:val="00F41350"/>
    <w:rsid w:val="00F42D2E"/>
    <w:rsid w:val="00F43459"/>
    <w:rsid w:val="00F46866"/>
    <w:rsid w:val="00F474B5"/>
    <w:rsid w:val="00F50749"/>
    <w:rsid w:val="00F51015"/>
    <w:rsid w:val="00F53857"/>
    <w:rsid w:val="00F53BA5"/>
    <w:rsid w:val="00F543EC"/>
    <w:rsid w:val="00F60FD6"/>
    <w:rsid w:val="00F61014"/>
    <w:rsid w:val="00F6201F"/>
    <w:rsid w:val="00F65C13"/>
    <w:rsid w:val="00F711F5"/>
    <w:rsid w:val="00F721ED"/>
    <w:rsid w:val="00F805F6"/>
    <w:rsid w:val="00F814B4"/>
    <w:rsid w:val="00F86C04"/>
    <w:rsid w:val="00F87D00"/>
    <w:rsid w:val="00F913AE"/>
    <w:rsid w:val="00F913FE"/>
    <w:rsid w:val="00F960B7"/>
    <w:rsid w:val="00F97EC3"/>
    <w:rsid w:val="00FA086F"/>
    <w:rsid w:val="00FA3755"/>
    <w:rsid w:val="00FA56EC"/>
    <w:rsid w:val="00FA59A6"/>
    <w:rsid w:val="00FB0BA9"/>
    <w:rsid w:val="00FB1E1E"/>
    <w:rsid w:val="00FB48FC"/>
    <w:rsid w:val="00FB4E5F"/>
    <w:rsid w:val="00FC0988"/>
    <w:rsid w:val="00FC5F94"/>
    <w:rsid w:val="00FD1A52"/>
    <w:rsid w:val="00FD2DBF"/>
    <w:rsid w:val="00FD3F25"/>
    <w:rsid w:val="00FD4A13"/>
    <w:rsid w:val="00FD6595"/>
    <w:rsid w:val="00FD6ACB"/>
    <w:rsid w:val="00FE2D15"/>
    <w:rsid w:val="00FE7907"/>
    <w:rsid w:val="00FF3AF8"/>
    <w:rsid w:val="00FF45A0"/>
    <w:rsid w:val="010F14C9"/>
    <w:rsid w:val="014E4AB1"/>
    <w:rsid w:val="016B6B49"/>
    <w:rsid w:val="01892BF2"/>
    <w:rsid w:val="01893391"/>
    <w:rsid w:val="0209118A"/>
    <w:rsid w:val="02626062"/>
    <w:rsid w:val="02842CF1"/>
    <w:rsid w:val="02D15FDE"/>
    <w:rsid w:val="030C7EAA"/>
    <w:rsid w:val="0363072C"/>
    <w:rsid w:val="038A7C1E"/>
    <w:rsid w:val="03DC4277"/>
    <w:rsid w:val="05780D5D"/>
    <w:rsid w:val="058C0B21"/>
    <w:rsid w:val="060E0DE2"/>
    <w:rsid w:val="06360965"/>
    <w:rsid w:val="06523451"/>
    <w:rsid w:val="06621197"/>
    <w:rsid w:val="06963DDF"/>
    <w:rsid w:val="07560186"/>
    <w:rsid w:val="0756358C"/>
    <w:rsid w:val="07C37533"/>
    <w:rsid w:val="082A3964"/>
    <w:rsid w:val="085E7A22"/>
    <w:rsid w:val="08720019"/>
    <w:rsid w:val="08BF3FA8"/>
    <w:rsid w:val="08FB3E13"/>
    <w:rsid w:val="091B377D"/>
    <w:rsid w:val="095B26F1"/>
    <w:rsid w:val="09C61885"/>
    <w:rsid w:val="0A030660"/>
    <w:rsid w:val="0A0D15F1"/>
    <w:rsid w:val="0A0D4212"/>
    <w:rsid w:val="0AFA3833"/>
    <w:rsid w:val="0C4805F1"/>
    <w:rsid w:val="0C6F3B75"/>
    <w:rsid w:val="0C7E4836"/>
    <w:rsid w:val="0C9828B8"/>
    <w:rsid w:val="0C9A2598"/>
    <w:rsid w:val="0D1150D1"/>
    <w:rsid w:val="0D140E7B"/>
    <w:rsid w:val="0D6C7AFB"/>
    <w:rsid w:val="0D965C30"/>
    <w:rsid w:val="0DAD0977"/>
    <w:rsid w:val="0DEE13CF"/>
    <w:rsid w:val="0ECC5455"/>
    <w:rsid w:val="0F26132C"/>
    <w:rsid w:val="1003131F"/>
    <w:rsid w:val="100E2978"/>
    <w:rsid w:val="10554498"/>
    <w:rsid w:val="10971693"/>
    <w:rsid w:val="10A20B21"/>
    <w:rsid w:val="10B46C1D"/>
    <w:rsid w:val="11186095"/>
    <w:rsid w:val="116A1D1E"/>
    <w:rsid w:val="117B207B"/>
    <w:rsid w:val="11A11EE8"/>
    <w:rsid w:val="11DC6539"/>
    <w:rsid w:val="123E5301"/>
    <w:rsid w:val="12505E9C"/>
    <w:rsid w:val="126177E1"/>
    <w:rsid w:val="128854F8"/>
    <w:rsid w:val="12977CB8"/>
    <w:rsid w:val="129E3C5B"/>
    <w:rsid w:val="12C06426"/>
    <w:rsid w:val="13451652"/>
    <w:rsid w:val="13843717"/>
    <w:rsid w:val="13BD62BA"/>
    <w:rsid w:val="14091C4A"/>
    <w:rsid w:val="147B08D8"/>
    <w:rsid w:val="14F944F9"/>
    <w:rsid w:val="1510637B"/>
    <w:rsid w:val="15167415"/>
    <w:rsid w:val="15A37A45"/>
    <w:rsid w:val="16206CB5"/>
    <w:rsid w:val="162646D5"/>
    <w:rsid w:val="16FE2A49"/>
    <w:rsid w:val="174218C2"/>
    <w:rsid w:val="178C2B84"/>
    <w:rsid w:val="178D1CA2"/>
    <w:rsid w:val="17935CA0"/>
    <w:rsid w:val="17A9055F"/>
    <w:rsid w:val="17EA72A5"/>
    <w:rsid w:val="17F915E3"/>
    <w:rsid w:val="186338EC"/>
    <w:rsid w:val="189B1BB1"/>
    <w:rsid w:val="18DD1CF8"/>
    <w:rsid w:val="19196A65"/>
    <w:rsid w:val="19E750B3"/>
    <w:rsid w:val="19E9791D"/>
    <w:rsid w:val="19FB5187"/>
    <w:rsid w:val="1A092DD3"/>
    <w:rsid w:val="1A3D45D4"/>
    <w:rsid w:val="1A407792"/>
    <w:rsid w:val="1A8537D0"/>
    <w:rsid w:val="1A9853AE"/>
    <w:rsid w:val="1AE709B1"/>
    <w:rsid w:val="1B2D1608"/>
    <w:rsid w:val="1B487554"/>
    <w:rsid w:val="1B577992"/>
    <w:rsid w:val="1B6A7BC1"/>
    <w:rsid w:val="1BB9675D"/>
    <w:rsid w:val="1BE545D4"/>
    <w:rsid w:val="1C0D37D9"/>
    <w:rsid w:val="1C150E45"/>
    <w:rsid w:val="1CB17F9A"/>
    <w:rsid w:val="1CD76CE6"/>
    <w:rsid w:val="1D227870"/>
    <w:rsid w:val="1D5A6BFF"/>
    <w:rsid w:val="1D72767C"/>
    <w:rsid w:val="1E021831"/>
    <w:rsid w:val="1E45369F"/>
    <w:rsid w:val="1E664612"/>
    <w:rsid w:val="1E774A3E"/>
    <w:rsid w:val="1EF70BC2"/>
    <w:rsid w:val="1EF839BF"/>
    <w:rsid w:val="1EFE4E4A"/>
    <w:rsid w:val="1F6C662A"/>
    <w:rsid w:val="1FDE647D"/>
    <w:rsid w:val="1FED27B4"/>
    <w:rsid w:val="2057249B"/>
    <w:rsid w:val="2094270F"/>
    <w:rsid w:val="209B7701"/>
    <w:rsid w:val="20F052F3"/>
    <w:rsid w:val="20F473E1"/>
    <w:rsid w:val="211029A5"/>
    <w:rsid w:val="218F3106"/>
    <w:rsid w:val="21923009"/>
    <w:rsid w:val="21BE7580"/>
    <w:rsid w:val="21F762AD"/>
    <w:rsid w:val="22213EB4"/>
    <w:rsid w:val="22FF0C68"/>
    <w:rsid w:val="232D468B"/>
    <w:rsid w:val="2344042F"/>
    <w:rsid w:val="23C826B6"/>
    <w:rsid w:val="24484938"/>
    <w:rsid w:val="245B451C"/>
    <w:rsid w:val="246B3468"/>
    <w:rsid w:val="246E5A75"/>
    <w:rsid w:val="24C66D00"/>
    <w:rsid w:val="24E03023"/>
    <w:rsid w:val="25721096"/>
    <w:rsid w:val="257F3D4E"/>
    <w:rsid w:val="25850EFB"/>
    <w:rsid w:val="258B1AAD"/>
    <w:rsid w:val="26315AE4"/>
    <w:rsid w:val="26852796"/>
    <w:rsid w:val="26B710EB"/>
    <w:rsid w:val="270411F2"/>
    <w:rsid w:val="275F5020"/>
    <w:rsid w:val="27972CD8"/>
    <w:rsid w:val="27CB30BE"/>
    <w:rsid w:val="282028E2"/>
    <w:rsid w:val="28703966"/>
    <w:rsid w:val="28CE3CFF"/>
    <w:rsid w:val="29333A52"/>
    <w:rsid w:val="294F7C08"/>
    <w:rsid w:val="298C646D"/>
    <w:rsid w:val="29AD14B7"/>
    <w:rsid w:val="29E33847"/>
    <w:rsid w:val="2A0E468C"/>
    <w:rsid w:val="2A293624"/>
    <w:rsid w:val="2A542203"/>
    <w:rsid w:val="2AE866DD"/>
    <w:rsid w:val="2AFB6F0D"/>
    <w:rsid w:val="2B2F19C2"/>
    <w:rsid w:val="2B7709D5"/>
    <w:rsid w:val="2C183D25"/>
    <w:rsid w:val="2C2C6D41"/>
    <w:rsid w:val="2C3B793C"/>
    <w:rsid w:val="2C9143AA"/>
    <w:rsid w:val="2D614483"/>
    <w:rsid w:val="2DFE2A8B"/>
    <w:rsid w:val="2E0126D5"/>
    <w:rsid w:val="2E695B14"/>
    <w:rsid w:val="2E980D78"/>
    <w:rsid w:val="2EC94124"/>
    <w:rsid w:val="2F363C4A"/>
    <w:rsid w:val="2F544122"/>
    <w:rsid w:val="2FB478B5"/>
    <w:rsid w:val="30000983"/>
    <w:rsid w:val="30033E63"/>
    <w:rsid w:val="30164498"/>
    <w:rsid w:val="30545F97"/>
    <w:rsid w:val="30746C6E"/>
    <w:rsid w:val="30B04157"/>
    <w:rsid w:val="30DA2073"/>
    <w:rsid w:val="30E007AC"/>
    <w:rsid w:val="30FB153B"/>
    <w:rsid w:val="31934B2C"/>
    <w:rsid w:val="31BC1ABC"/>
    <w:rsid w:val="32010A0D"/>
    <w:rsid w:val="32244439"/>
    <w:rsid w:val="325B02DC"/>
    <w:rsid w:val="32B26054"/>
    <w:rsid w:val="32D40373"/>
    <w:rsid w:val="32F43C57"/>
    <w:rsid w:val="336B4F6A"/>
    <w:rsid w:val="33B02D97"/>
    <w:rsid w:val="34D658BF"/>
    <w:rsid w:val="34EC556B"/>
    <w:rsid w:val="35314854"/>
    <w:rsid w:val="353C245D"/>
    <w:rsid w:val="35823AE9"/>
    <w:rsid w:val="35FF0777"/>
    <w:rsid w:val="36547871"/>
    <w:rsid w:val="36992EEE"/>
    <w:rsid w:val="36CF52E2"/>
    <w:rsid w:val="36D44917"/>
    <w:rsid w:val="36DA007D"/>
    <w:rsid w:val="36F14962"/>
    <w:rsid w:val="373E6FB2"/>
    <w:rsid w:val="376B5A19"/>
    <w:rsid w:val="37843BAD"/>
    <w:rsid w:val="37956B7B"/>
    <w:rsid w:val="37BD127A"/>
    <w:rsid w:val="37FE0D01"/>
    <w:rsid w:val="3898502D"/>
    <w:rsid w:val="392B3E57"/>
    <w:rsid w:val="39413029"/>
    <w:rsid w:val="396C2249"/>
    <w:rsid w:val="398413EB"/>
    <w:rsid w:val="3A1334A4"/>
    <w:rsid w:val="3A660E22"/>
    <w:rsid w:val="3AFB1ED1"/>
    <w:rsid w:val="3AFC2EDE"/>
    <w:rsid w:val="3B2E2A64"/>
    <w:rsid w:val="3B2F05BD"/>
    <w:rsid w:val="3B7D2303"/>
    <w:rsid w:val="3C28728D"/>
    <w:rsid w:val="3C350370"/>
    <w:rsid w:val="3CA44FD1"/>
    <w:rsid w:val="3D684F71"/>
    <w:rsid w:val="3D840A11"/>
    <w:rsid w:val="3DBE792D"/>
    <w:rsid w:val="3E195B2B"/>
    <w:rsid w:val="3E6C6A4F"/>
    <w:rsid w:val="3EDA225D"/>
    <w:rsid w:val="3F0C0227"/>
    <w:rsid w:val="3F8942DF"/>
    <w:rsid w:val="3F9B4377"/>
    <w:rsid w:val="3FEC556C"/>
    <w:rsid w:val="40E27252"/>
    <w:rsid w:val="41B160E5"/>
    <w:rsid w:val="41CF6D0F"/>
    <w:rsid w:val="420D6000"/>
    <w:rsid w:val="42D75876"/>
    <w:rsid w:val="42DC76B7"/>
    <w:rsid w:val="42F47C55"/>
    <w:rsid w:val="44913A39"/>
    <w:rsid w:val="44B025D1"/>
    <w:rsid w:val="44BC7116"/>
    <w:rsid w:val="44BE0BB3"/>
    <w:rsid w:val="45173035"/>
    <w:rsid w:val="466E71FB"/>
    <w:rsid w:val="467142AC"/>
    <w:rsid w:val="46B24FEF"/>
    <w:rsid w:val="46C75597"/>
    <w:rsid w:val="47487CB6"/>
    <w:rsid w:val="474C5A68"/>
    <w:rsid w:val="476A455D"/>
    <w:rsid w:val="477B0A59"/>
    <w:rsid w:val="47E14E60"/>
    <w:rsid w:val="482337C5"/>
    <w:rsid w:val="48765FDF"/>
    <w:rsid w:val="48767A41"/>
    <w:rsid w:val="48A028A0"/>
    <w:rsid w:val="48BA18DC"/>
    <w:rsid w:val="492F20B5"/>
    <w:rsid w:val="49332AC0"/>
    <w:rsid w:val="499C7ED1"/>
    <w:rsid w:val="49E64BF6"/>
    <w:rsid w:val="4A0D24BB"/>
    <w:rsid w:val="4A0E66D8"/>
    <w:rsid w:val="4A2F79ED"/>
    <w:rsid w:val="4A785BEB"/>
    <w:rsid w:val="4B3B4076"/>
    <w:rsid w:val="4B5410AA"/>
    <w:rsid w:val="4B5C46AD"/>
    <w:rsid w:val="4B5E6E65"/>
    <w:rsid w:val="4B61250F"/>
    <w:rsid w:val="4B80136B"/>
    <w:rsid w:val="4B835429"/>
    <w:rsid w:val="4B911233"/>
    <w:rsid w:val="4BD603D8"/>
    <w:rsid w:val="4BE770B7"/>
    <w:rsid w:val="4C021D7C"/>
    <w:rsid w:val="4C0708BA"/>
    <w:rsid w:val="4C462F44"/>
    <w:rsid w:val="4C58149A"/>
    <w:rsid w:val="4C611DD3"/>
    <w:rsid w:val="4C820C46"/>
    <w:rsid w:val="4CC076CA"/>
    <w:rsid w:val="4CF95571"/>
    <w:rsid w:val="4D0361D0"/>
    <w:rsid w:val="4D4D499D"/>
    <w:rsid w:val="4DB77184"/>
    <w:rsid w:val="4DBE743F"/>
    <w:rsid w:val="4DF30020"/>
    <w:rsid w:val="4E0631EC"/>
    <w:rsid w:val="4E213769"/>
    <w:rsid w:val="4E233D95"/>
    <w:rsid w:val="4E240697"/>
    <w:rsid w:val="4EBE5768"/>
    <w:rsid w:val="4ECD1F20"/>
    <w:rsid w:val="4ED42630"/>
    <w:rsid w:val="4F014124"/>
    <w:rsid w:val="4F09312C"/>
    <w:rsid w:val="4F213DEF"/>
    <w:rsid w:val="4F63651B"/>
    <w:rsid w:val="4F6E7AEE"/>
    <w:rsid w:val="4FA91E90"/>
    <w:rsid w:val="4FCC0E86"/>
    <w:rsid w:val="504C32B0"/>
    <w:rsid w:val="506D1A72"/>
    <w:rsid w:val="509B5AAC"/>
    <w:rsid w:val="50C6566D"/>
    <w:rsid w:val="52730954"/>
    <w:rsid w:val="529C2218"/>
    <w:rsid w:val="52E2213F"/>
    <w:rsid w:val="53053A26"/>
    <w:rsid w:val="531224D9"/>
    <w:rsid w:val="53155904"/>
    <w:rsid w:val="534D6A66"/>
    <w:rsid w:val="53694E0A"/>
    <w:rsid w:val="536C37E6"/>
    <w:rsid w:val="53886C91"/>
    <w:rsid w:val="53A40CC6"/>
    <w:rsid w:val="53CC2610"/>
    <w:rsid w:val="54543DD2"/>
    <w:rsid w:val="5487520B"/>
    <w:rsid w:val="549A4C8C"/>
    <w:rsid w:val="54C2369C"/>
    <w:rsid w:val="552C30CC"/>
    <w:rsid w:val="555030C7"/>
    <w:rsid w:val="556F1920"/>
    <w:rsid w:val="55734E62"/>
    <w:rsid w:val="55821B75"/>
    <w:rsid w:val="55921F48"/>
    <w:rsid w:val="55F43357"/>
    <w:rsid w:val="565E461F"/>
    <w:rsid w:val="57371272"/>
    <w:rsid w:val="57534DD9"/>
    <w:rsid w:val="575A0714"/>
    <w:rsid w:val="5820170B"/>
    <w:rsid w:val="588909AE"/>
    <w:rsid w:val="58A12B67"/>
    <w:rsid w:val="58BC0241"/>
    <w:rsid w:val="59324F8A"/>
    <w:rsid w:val="59F14FD2"/>
    <w:rsid w:val="5A6D69F4"/>
    <w:rsid w:val="5A8A5E7E"/>
    <w:rsid w:val="5AC71E20"/>
    <w:rsid w:val="5AEB4C5B"/>
    <w:rsid w:val="5B07387C"/>
    <w:rsid w:val="5B173707"/>
    <w:rsid w:val="5B4B7B6A"/>
    <w:rsid w:val="5BBB5FEA"/>
    <w:rsid w:val="5C3A5715"/>
    <w:rsid w:val="5C5A55B4"/>
    <w:rsid w:val="5D2A3875"/>
    <w:rsid w:val="5D4A319D"/>
    <w:rsid w:val="5D9B4D1A"/>
    <w:rsid w:val="5DB72672"/>
    <w:rsid w:val="5DBA7541"/>
    <w:rsid w:val="5E760D7D"/>
    <w:rsid w:val="5ED0132D"/>
    <w:rsid w:val="5F5E1FE4"/>
    <w:rsid w:val="5FFD5D21"/>
    <w:rsid w:val="600700AF"/>
    <w:rsid w:val="603F3A3E"/>
    <w:rsid w:val="606E3517"/>
    <w:rsid w:val="60C57A64"/>
    <w:rsid w:val="60C842D7"/>
    <w:rsid w:val="610D4ED3"/>
    <w:rsid w:val="610E4E62"/>
    <w:rsid w:val="6120532B"/>
    <w:rsid w:val="61343131"/>
    <w:rsid w:val="618B54D9"/>
    <w:rsid w:val="62250871"/>
    <w:rsid w:val="629F647D"/>
    <w:rsid w:val="62D0606A"/>
    <w:rsid w:val="63113164"/>
    <w:rsid w:val="632750BB"/>
    <w:rsid w:val="63984453"/>
    <w:rsid w:val="63CF2100"/>
    <w:rsid w:val="63D946AA"/>
    <w:rsid w:val="63E229FB"/>
    <w:rsid w:val="63F604B7"/>
    <w:rsid w:val="64844BCC"/>
    <w:rsid w:val="649C1B52"/>
    <w:rsid w:val="64A032F6"/>
    <w:rsid w:val="64C44623"/>
    <w:rsid w:val="64D63F15"/>
    <w:rsid w:val="64DB5792"/>
    <w:rsid w:val="65553211"/>
    <w:rsid w:val="65947DE3"/>
    <w:rsid w:val="65BB0B51"/>
    <w:rsid w:val="663771E3"/>
    <w:rsid w:val="66524AC9"/>
    <w:rsid w:val="66900E42"/>
    <w:rsid w:val="66917E27"/>
    <w:rsid w:val="6692366F"/>
    <w:rsid w:val="66B0459B"/>
    <w:rsid w:val="670422D1"/>
    <w:rsid w:val="67157BA2"/>
    <w:rsid w:val="67631625"/>
    <w:rsid w:val="67CA7BD0"/>
    <w:rsid w:val="67E17509"/>
    <w:rsid w:val="6884690F"/>
    <w:rsid w:val="688F2FE3"/>
    <w:rsid w:val="68B152CF"/>
    <w:rsid w:val="695613C8"/>
    <w:rsid w:val="69A8480B"/>
    <w:rsid w:val="6A1778A1"/>
    <w:rsid w:val="6AC6460D"/>
    <w:rsid w:val="6B534C46"/>
    <w:rsid w:val="6B8622AD"/>
    <w:rsid w:val="6BCD1721"/>
    <w:rsid w:val="6C5A3F4A"/>
    <w:rsid w:val="6CA80F39"/>
    <w:rsid w:val="6CB36058"/>
    <w:rsid w:val="6D9B25F8"/>
    <w:rsid w:val="6E630820"/>
    <w:rsid w:val="6E8C68C1"/>
    <w:rsid w:val="6F0E7E3B"/>
    <w:rsid w:val="6F4B30EC"/>
    <w:rsid w:val="6F4B710B"/>
    <w:rsid w:val="70631018"/>
    <w:rsid w:val="713E4632"/>
    <w:rsid w:val="71480641"/>
    <w:rsid w:val="71C47780"/>
    <w:rsid w:val="722246CE"/>
    <w:rsid w:val="722A1ADB"/>
    <w:rsid w:val="724F2AC9"/>
    <w:rsid w:val="7258577B"/>
    <w:rsid w:val="72670677"/>
    <w:rsid w:val="735E4456"/>
    <w:rsid w:val="73EB358F"/>
    <w:rsid w:val="73FD210D"/>
    <w:rsid w:val="740636B6"/>
    <w:rsid w:val="741F0C91"/>
    <w:rsid w:val="74695921"/>
    <w:rsid w:val="74DD260E"/>
    <w:rsid w:val="74FF01DB"/>
    <w:rsid w:val="755B04BE"/>
    <w:rsid w:val="757061DD"/>
    <w:rsid w:val="75FD415A"/>
    <w:rsid w:val="7616617E"/>
    <w:rsid w:val="765D7EF2"/>
    <w:rsid w:val="768D49D9"/>
    <w:rsid w:val="76AC245D"/>
    <w:rsid w:val="77775F5B"/>
    <w:rsid w:val="77DC4493"/>
    <w:rsid w:val="78045459"/>
    <w:rsid w:val="782A4D28"/>
    <w:rsid w:val="7843286B"/>
    <w:rsid w:val="78CE0538"/>
    <w:rsid w:val="78E759E5"/>
    <w:rsid w:val="79263F52"/>
    <w:rsid w:val="792D4C52"/>
    <w:rsid w:val="79785973"/>
    <w:rsid w:val="79907C4E"/>
    <w:rsid w:val="79D821F3"/>
    <w:rsid w:val="79E3724E"/>
    <w:rsid w:val="7A2A1FD1"/>
    <w:rsid w:val="7A8F52F0"/>
    <w:rsid w:val="7AAE1D15"/>
    <w:rsid w:val="7AD66D9C"/>
    <w:rsid w:val="7B551150"/>
    <w:rsid w:val="7BB044D0"/>
    <w:rsid w:val="7BF62A6B"/>
    <w:rsid w:val="7CA230B4"/>
    <w:rsid w:val="7CB20B31"/>
    <w:rsid w:val="7CB41F4B"/>
    <w:rsid w:val="7CC51ABA"/>
    <w:rsid w:val="7D4627CF"/>
    <w:rsid w:val="7D523978"/>
    <w:rsid w:val="7DAE26A6"/>
    <w:rsid w:val="7DCD7449"/>
    <w:rsid w:val="7E43464E"/>
    <w:rsid w:val="7E79419A"/>
    <w:rsid w:val="7EA67258"/>
    <w:rsid w:val="7EE10200"/>
    <w:rsid w:val="7F36179B"/>
    <w:rsid w:val="7FB74246"/>
    <w:rsid w:val="7FD25345"/>
    <w:rsid w:val="7FDD6A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000001"/>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qFormat="1" w:unhideWhenUsed="0" w:uiPriority="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43"/>
    <w:qFormat/>
    <w:uiPriority w:val="0"/>
    <w:pPr>
      <w:keepNext/>
      <w:keepLines/>
      <w:numPr>
        <w:ilvl w:val="0"/>
        <w:numId w:val="1"/>
      </w:numPr>
      <w:spacing w:before="50" w:beforeLines="50" w:after="50" w:afterLines="50" w:line="360" w:lineRule="auto"/>
      <w:ind w:left="0" w:firstLineChars="0"/>
      <w:jc w:val="left"/>
      <w:outlineLvl w:val="0"/>
    </w:pPr>
    <w:rPr>
      <w:b/>
      <w:bCs/>
      <w:kern w:val="44"/>
      <w:sz w:val="28"/>
      <w:szCs w:val="44"/>
    </w:rPr>
  </w:style>
  <w:style w:type="paragraph" w:styleId="4">
    <w:name w:val="heading 2"/>
    <w:basedOn w:val="1"/>
    <w:next w:val="1"/>
    <w:link w:val="44"/>
    <w:qFormat/>
    <w:uiPriority w:val="0"/>
    <w:pPr>
      <w:keepNext/>
      <w:keepLines/>
      <w:spacing w:line="360" w:lineRule="auto"/>
      <w:ind w:firstLine="0" w:firstLineChars="0"/>
      <w:outlineLvl w:val="1"/>
    </w:pPr>
    <w:rPr>
      <w:rFonts w:ascii="Arial" w:hAnsi="Arial"/>
      <w:b/>
      <w:bCs/>
      <w:sz w:val="28"/>
      <w:szCs w:val="32"/>
    </w:rPr>
  </w:style>
  <w:style w:type="paragraph" w:styleId="5">
    <w:name w:val="heading 3"/>
    <w:basedOn w:val="1"/>
    <w:next w:val="1"/>
    <w:qFormat/>
    <w:uiPriority w:val="0"/>
    <w:pPr>
      <w:keepNext/>
      <w:keepLines/>
      <w:numPr>
        <w:ilvl w:val="2"/>
        <w:numId w:val="2"/>
      </w:numPr>
      <w:tabs>
        <w:tab w:val="left" w:pos="720"/>
      </w:tabs>
      <w:spacing w:before="140" w:beforeLines="0" w:after="140" w:afterLines="0" w:line="240" w:lineRule="auto"/>
      <w:ind w:left="1260" w:hanging="420" w:firstLineChars="0"/>
      <w:outlineLvl w:val="2"/>
    </w:pPr>
    <w:rPr>
      <w:rFonts w:ascii="Times New Roman" w:hAnsi="Times New Roman" w:eastAsia="宋体"/>
      <w:b/>
      <w:bCs/>
      <w:sz w:val="28"/>
      <w:szCs w:val="32"/>
    </w:rPr>
  </w:style>
  <w:style w:type="paragraph" w:styleId="6">
    <w:name w:val="heading 4"/>
    <w:basedOn w:val="1"/>
    <w:next w:val="1"/>
    <w:unhideWhenUsed/>
    <w:qFormat/>
    <w:uiPriority w:val="0"/>
    <w:pPr>
      <w:keepNext/>
      <w:keepLines/>
      <w:numPr>
        <w:ilvl w:val="0"/>
        <w:numId w:val="2"/>
      </w:numPr>
      <w:spacing w:before="120" w:beforeLines="0" w:beforeAutospacing="0" w:after="120" w:afterLines="0" w:afterAutospacing="0" w:line="240" w:lineRule="auto"/>
      <w:ind w:leftChars="200"/>
      <w:outlineLvl w:val="3"/>
    </w:pPr>
    <w:rPr>
      <w:rFonts w:ascii="Arial" w:hAnsi="Arial" w:eastAsia="宋体"/>
      <w:sz w:val="24"/>
    </w:rPr>
  </w:style>
  <w:style w:type="character" w:default="1" w:styleId="36">
    <w:name w:val="Default Paragraph Font"/>
    <w:qFormat/>
    <w:uiPriority w:val="0"/>
  </w:style>
  <w:style w:type="table" w:default="1" w:styleId="33">
    <w:name w:val="Normal Table"/>
    <w:semiHidden/>
    <w:qFormat/>
    <w:uiPriority w:val="0"/>
    <w:tblPr>
      <w:tblCellMar>
        <w:top w:w="0" w:type="dxa"/>
        <w:left w:w="108" w:type="dxa"/>
        <w:bottom w:w="0" w:type="dxa"/>
        <w:right w:w="108" w:type="dxa"/>
      </w:tblCellMar>
    </w:tblPr>
  </w:style>
  <w:style w:type="paragraph" w:styleId="2">
    <w:name w:val="Body Text"/>
    <w:basedOn w:val="1"/>
    <w:next w:val="1"/>
    <w:link w:val="46"/>
    <w:qFormat/>
    <w:uiPriority w:val="0"/>
    <w:pPr>
      <w:spacing w:after="120"/>
    </w:pPr>
    <w:rPr>
      <w:szCs w:val="24"/>
    </w:rPr>
  </w:style>
  <w:style w:type="paragraph" w:styleId="7">
    <w:name w:val="toc 7"/>
    <w:basedOn w:val="1"/>
    <w:next w:val="1"/>
    <w:qFormat/>
    <w:uiPriority w:val="0"/>
    <w:pPr>
      <w:ind w:left="2520" w:leftChars="1200"/>
    </w:pPr>
  </w:style>
  <w:style w:type="paragraph" w:styleId="8">
    <w:name w:val="List Number"/>
    <w:basedOn w:val="1"/>
    <w:qFormat/>
    <w:uiPriority w:val="0"/>
    <w:pPr>
      <w:widowControl/>
      <w:numPr>
        <w:ilvl w:val="0"/>
        <w:numId w:val="3"/>
      </w:numPr>
      <w:tabs>
        <w:tab w:val="left" w:pos="780"/>
        <w:tab w:val="clear" w:pos="360"/>
      </w:tabs>
      <w:spacing w:line="307" w:lineRule="auto"/>
      <w:ind w:left="340" w:leftChars="200" w:hanging="340"/>
    </w:pPr>
    <w:rPr>
      <w:sz w:val="28"/>
      <w:szCs w:val="20"/>
    </w:rPr>
  </w:style>
  <w:style w:type="paragraph" w:styleId="9">
    <w:name w:val="Normal Indent"/>
    <w:basedOn w:val="1"/>
    <w:qFormat/>
    <w:uiPriority w:val="0"/>
    <w:pPr>
      <w:adjustRightInd w:val="0"/>
      <w:snapToGrid w:val="0"/>
      <w:spacing w:line="360" w:lineRule="auto"/>
      <w:jc w:val="left"/>
    </w:pPr>
    <w:rPr>
      <w:sz w:val="24"/>
    </w:rPr>
  </w:style>
  <w:style w:type="paragraph" w:styleId="10">
    <w:name w:val="caption"/>
    <w:basedOn w:val="11"/>
    <w:next w:val="1"/>
    <w:unhideWhenUsed/>
    <w:qFormat/>
    <w:uiPriority w:val="0"/>
    <w:rPr>
      <w:rFonts w:ascii="Cambria" w:hAnsi="Cambria" w:eastAsia="黑体" w:cs="Times New Roman"/>
      <w:sz w:val="20"/>
    </w:rPr>
  </w:style>
  <w:style w:type="paragraph" w:customStyle="1" w:styleId="11">
    <w:name w:val="1表格"/>
    <w:basedOn w:val="1"/>
    <w:qFormat/>
    <w:uiPriority w:val="0"/>
    <w:pPr>
      <w:snapToGrid w:val="0"/>
      <w:spacing w:line="160" w:lineRule="atLeast"/>
    </w:pPr>
    <w:rPr>
      <w:rFonts w:eastAsia="仿宋_GB2312"/>
      <w:szCs w:val="20"/>
    </w:rPr>
  </w:style>
  <w:style w:type="paragraph" w:styleId="12">
    <w:name w:val="toa heading"/>
    <w:basedOn w:val="1"/>
    <w:next w:val="1"/>
    <w:qFormat/>
    <w:uiPriority w:val="0"/>
    <w:pPr>
      <w:spacing w:before="120"/>
    </w:pPr>
    <w:rPr>
      <w:rFonts w:ascii="Arial" w:hAnsi="Arial" w:cs="Arial"/>
      <w:sz w:val="24"/>
    </w:rPr>
  </w:style>
  <w:style w:type="paragraph" w:styleId="13">
    <w:name w:val="annotation text"/>
    <w:basedOn w:val="1"/>
    <w:qFormat/>
    <w:uiPriority w:val="0"/>
    <w:pPr>
      <w:jc w:val="left"/>
    </w:pPr>
  </w:style>
  <w:style w:type="paragraph" w:styleId="14">
    <w:name w:val="Body Text Indent"/>
    <w:basedOn w:val="1"/>
    <w:qFormat/>
    <w:uiPriority w:val="0"/>
    <w:pPr>
      <w:spacing w:after="120"/>
      <w:ind w:left="420" w:leftChars="200"/>
    </w:pPr>
  </w:style>
  <w:style w:type="paragraph" w:styleId="15">
    <w:name w:val="toc 5"/>
    <w:basedOn w:val="1"/>
    <w:next w:val="1"/>
    <w:qFormat/>
    <w:uiPriority w:val="0"/>
    <w:pPr>
      <w:ind w:left="1680" w:leftChars="800"/>
    </w:pPr>
  </w:style>
  <w:style w:type="paragraph" w:styleId="16">
    <w:name w:val="toc 3"/>
    <w:basedOn w:val="1"/>
    <w:next w:val="1"/>
    <w:semiHidden/>
    <w:qFormat/>
    <w:uiPriority w:val="0"/>
    <w:pPr>
      <w:ind w:left="840" w:leftChars="400"/>
    </w:pPr>
  </w:style>
  <w:style w:type="paragraph" w:styleId="17">
    <w:name w:val="Plain Text"/>
    <w:basedOn w:val="1"/>
    <w:link w:val="47"/>
    <w:qFormat/>
    <w:uiPriority w:val="99"/>
    <w:rPr>
      <w:rFonts w:ascii="宋体" w:hAnsi="Courier New"/>
      <w:sz w:val="24"/>
      <w:szCs w:val="20"/>
    </w:rPr>
  </w:style>
  <w:style w:type="paragraph" w:styleId="18">
    <w:name w:val="toc 8"/>
    <w:basedOn w:val="1"/>
    <w:next w:val="1"/>
    <w:qFormat/>
    <w:uiPriority w:val="0"/>
    <w:pPr>
      <w:ind w:left="2940" w:leftChars="1400"/>
    </w:pPr>
  </w:style>
  <w:style w:type="paragraph" w:styleId="19">
    <w:name w:val="Date"/>
    <w:basedOn w:val="1"/>
    <w:next w:val="1"/>
    <w:link w:val="48"/>
    <w:qFormat/>
    <w:uiPriority w:val="0"/>
    <w:pPr>
      <w:ind w:left="100" w:leftChars="2500"/>
    </w:pPr>
    <w:rPr>
      <w:szCs w:val="24"/>
    </w:rPr>
  </w:style>
  <w:style w:type="paragraph" w:styleId="20">
    <w:name w:val="Body Text Indent 2"/>
    <w:basedOn w:val="1"/>
    <w:link w:val="49"/>
    <w:qFormat/>
    <w:uiPriority w:val="0"/>
    <w:pPr>
      <w:widowControl/>
      <w:ind w:firstLine="240" w:firstLineChars="100"/>
      <w:jc w:val="left"/>
    </w:pPr>
    <w:rPr>
      <w:kern w:val="0"/>
      <w:sz w:val="24"/>
      <w:szCs w:val="20"/>
    </w:rPr>
  </w:style>
  <w:style w:type="paragraph" w:styleId="21">
    <w:name w:val="footer"/>
    <w:basedOn w:val="1"/>
    <w:link w:val="50"/>
    <w:qFormat/>
    <w:uiPriority w:val="99"/>
    <w:pPr>
      <w:tabs>
        <w:tab w:val="center" w:pos="4153"/>
        <w:tab w:val="right" w:pos="8306"/>
      </w:tabs>
      <w:snapToGrid w:val="0"/>
      <w:jc w:val="left"/>
    </w:pPr>
    <w:rPr>
      <w:sz w:val="18"/>
      <w:szCs w:val="18"/>
      <w:vertAlign w:val="superscript"/>
    </w:rPr>
  </w:style>
  <w:style w:type="paragraph" w:styleId="22">
    <w:name w:val="header"/>
    <w:basedOn w:val="1"/>
    <w:next w:val="1"/>
    <w:link w:val="42"/>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toc 4"/>
    <w:basedOn w:val="1"/>
    <w:next w:val="1"/>
    <w:qFormat/>
    <w:uiPriority w:val="0"/>
    <w:pPr>
      <w:ind w:left="1260" w:leftChars="600"/>
    </w:pPr>
  </w:style>
  <w:style w:type="paragraph" w:styleId="25">
    <w:name w:val="List"/>
    <w:basedOn w:val="1"/>
    <w:qFormat/>
    <w:uiPriority w:val="0"/>
    <w:pPr>
      <w:spacing w:line="320" w:lineRule="exact"/>
      <w:ind w:firstLine="0" w:firstLineChars="0"/>
      <w:jc w:val="center"/>
    </w:pPr>
    <w:rPr>
      <w:sz w:val="20"/>
    </w:rPr>
  </w:style>
  <w:style w:type="paragraph" w:styleId="26">
    <w:name w:val="toc 6"/>
    <w:basedOn w:val="1"/>
    <w:next w:val="1"/>
    <w:qFormat/>
    <w:uiPriority w:val="0"/>
    <w:pPr>
      <w:ind w:left="2100" w:leftChars="1000"/>
    </w:pPr>
  </w:style>
  <w:style w:type="paragraph" w:styleId="27">
    <w:name w:val="toc 2"/>
    <w:basedOn w:val="1"/>
    <w:next w:val="1"/>
    <w:semiHidden/>
    <w:qFormat/>
    <w:uiPriority w:val="0"/>
    <w:pPr>
      <w:ind w:left="420" w:leftChars="200"/>
    </w:pPr>
  </w:style>
  <w:style w:type="paragraph" w:styleId="28">
    <w:name w:val="toc 9"/>
    <w:basedOn w:val="1"/>
    <w:next w:val="1"/>
    <w:qFormat/>
    <w:uiPriority w:val="0"/>
    <w:pPr>
      <w:ind w:left="3360" w:leftChars="1600"/>
    </w:pPr>
  </w:style>
  <w:style w:type="paragraph" w:styleId="2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semiHidden/>
    <w:qFormat/>
    <w:uiPriority w:val="0"/>
  </w:style>
  <w:style w:type="paragraph" w:styleId="31">
    <w:name w:val="Body Text First Indent"/>
    <w:basedOn w:val="2"/>
    <w:qFormat/>
    <w:uiPriority w:val="0"/>
    <w:pPr>
      <w:ind w:firstLine="420" w:firstLineChars="100"/>
    </w:pPr>
  </w:style>
  <w:style w:type="paragraph" w:styleId="32">
    <w:name w:val="Body Text First Indent 2"/>
    <w:basedOn w:val="14"/>
    <w:next w:val="1"/>
    <w:link w:val="45"/>
    <w:unhideWhenUsed/>
    <w:qFormat/>
    <w:uiPriority w:val="99"/>
    <w:pPr>
      <w:ind w:firstLine="420" w:firstLineChars="200"/>
    </w:pPr>
  </w:style>
  <w:style w:type="table" w:styleId="34">
    <w:name w:val="Table Grid"/>
    <w:basedOn w:val="3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Table Theme"/>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0"/>
    <w:rPr>
      <w:b/>
    </w:rPr>
  </w:style>
  <w:style w:type="character" w:styleId="38">
    <w:name w:val="page number"/>
    <w:basedOn w:val="36"/>
    <w:qFormat/>
    <w:uiPriority w:val="0"/>
  </w:style>
  <w:style w:type="character" w:styleId="39">
    <w:name w:val="FollowedHyperlink"/>
    <w:qFormat/>
    <w:uiPriority w:val="0"/>
    <w:rPr>
      <w:color w:val="800080"/>
      <w:u w:val="single"/>
    </w:rPr>
  </w:style>
  <w:style w:type="character" w:styleId="40">
    <w:name w:val="Hyperlink"/>
    <w:qFormat/>
    <w:uiPriority w:val="0"/>
    <w:rPr>
      <w:color w:val="0000FF"/>
      <w:u w:val="single"/>
    </w:rPr>
  </w:style>
  <w:style w:type="character" w:styleId="41">
    <w:name w:val="annotation reference"/>
    <w:qFormat/>
    <w:uiPriority w:val="0"/>
    <w:rPr>
      <w:sz w:val="21"/>
    </w:rPr>
  </w:style>
  <w:style w:type="character" w:customStyle="1" w:styleId="42">
    <w:name w:val="页眉 Char"/>
    <w:basedOn w:val="36"/>
    <w:link w:val="22"/>
    <w:qFormat/>
    <w:uiPriority w:val="99"/>
    <w:rPr>
      <w:kern w:val="2"/>
      <w:sz w:val="18"/>
      <w:szCs w:val="18"/>
    </w:rPr>
  </w:style>
  <w:style w:type="character" w:customStyle="1" w:styleId="43">
    <w:name w:val="标题 1 Char"/>
    <w:link w:val="3"/>
    <w:qFormat/>
    <w:uiPriority w:val="0"/>
    <w:rPr>
      <w:rFonts w:ascii="Times New Roman" w:hAnsi="Times New Roman" w:eastAsia="宋体"/>
      <w:b/>
      <w:bCs/>
      <w:kern w:val="44"/>
      <w:sz w:val="28"/>
      <w:szCs w:val="44"/>
    </w:rPr>
  </w:style>
  <w:style w:type="character" w:customStyle="1" w:styleId="44">
    <w:name w:val="标题 2 Char"/>
    <w:link w:val="4"/>
    <w:qFormat/>
    <w:uiPriority w:val="0"/>
    <w:rPr>
      <w:rFonts w:ascii="Arial" w:hAnsi="Arial" w:eastAsia="宋体"/>
      <w:b/>
      <w:bCs/>
      <w:kern w:val="2"/>
      <w:sz w:val="28"/>
      <w:szCs w:val="32"/>
      <w:lang w:val="en-US" w:eastAsia="zh-CN" w:bidi="ar-SA"/>
    </w:rPr>
  </w:style>
  <w:style w:type="character" w:customStyle="1" w:styleId="45">
    <w:name w:val="正文首行缩进 2 Char"/>
    <w:basedOn w:val="36"/>
    <w:link w:val="32"/>
    <w:qFormat/>
    <w:uiPriority w:val="99"/>
    <w:rPr>
      <w:kern w:val="2"/>
      <w:sz w:val="24"/>
      <w:szCs w:val="24"/>
    </w:rPr>
  </w:style>
  <w:style w:type="character" w:customStyle="1" w:styleId="46">
    <w:name w:val="正文文本 Char"/>
    <w:link w:val="2"/>
    <w:qFormat/>
    <w:uiPriority w:val="0"/>
    <w:rPr>
      <w:rFonts w:eastAsia="宋体"/>
      <w:kern w:val="2"/>
      <w:sz w:val="21"/>
      <w:szCs w:val="24"/>
      <w:lang w:val="en-US" w:eastAsia="zh-CN" w:bidi="ar-SA"/>
    </w:rPr>
  </w:style>
  <w:style w:type="character" w:customStyle="1" w:styleId="47">
    <w:name w:val="纯文本 Char"/>
    <w:link w:val="17"/>
    <w:qFormat/>
    <w:uiPriority w:val="99"/>
    <w:rPr>
      <w:rFonts w:ascii="宋体" w:hAnsi="Courier New" w:eastAsia="宋体"/>
      <w:kern w:val="2"/>
      <w:sz w:val="24"/>
      <w:lang w:val="en-US" w:eastAsia="zh-CN" w:bidi="ar-SA"/>
    </w:rPr>
  </w:style>
  <w:style w:type="character" w:customStyle="1" w:styleId="48">
    <w:name w:val="日期 Char"/>
    <w:link w:val="19"/>
    <w:qFormat/>
    <w:uiPriority w:val="0"/>
    <w:rPr>
      <w:kern w:val="2"/>
      <w:sz w:val="21"/>
      <w:szCs w:val="24"/>
    </w:rPr>
  </w:style>
  <w:style w:type="character" w:customStyle="1" w:styleId="49">
    <w:name w:val="正文文本缩进 2 Char"/>
    <w:link w:val="20"/>
    <w:qFormat/>
    <w:uiPriority w:val="0"/>
    <w:rPr>
      <w:rFonts w:eastAsia="宋体"/>
      <w:sz w:val="24"/>
      <w:lang w:val="en-US" w:eastAsia="zh-CN" w:bidi="ar-SA"/>
    </w:rPr>
  </w:style>
  <w:style w:type="character" w:customStyle="1" w:styleId="50">
    <w:name w:val="页脚 Char"/>
    <w:basedOn w:val="36"/>
    <w:link w:val="21"/>
    <w:qFormat/>
    <w:uiPriority w:val="99"/>
    <w:rPr>
      <w:kern w:val="2"/>
      <w:sz w:val="18"/>
      <w:szCs w:val="18"/>
      <w:vertAlign w:val="superscript"/>
    </w:rPr>
  </w:style>
  <w:style w:type="character" w:customStyle="1" w:styleId="51">
    <w:name w:val="我的样式 Char"/>
    <w:link w:val="52"/>
    <w:qFormat/>
    <w:uiPriority w:val="0"/>
    <w:rPr>
      <w:snapToGrid w:val="0"/>
      <w:sz w:val="28"/>
    </w:rPr>
  </w:style>
  <w:style w:type="paragraph" w:customStyle="1" w:styleId="52">
    <w:name w:val="我的样式"/>
    <w:basedOn w:val="1"/>
    <w:link w:val="51"/>
    <w:qFormat/>
    <w:uiPriority w:val="0"/>
    <w:pPr>
      <w:adjustRightInd w:val="0"/>
      <w:snapToGrid w:val="0"/>
      <w:spacing w:line="360" w:lineRule="auto"/>
      <w:ind w:firstLine="200" w:firstLineChars="200"/>
      <w:jc w:val="left"/>
      <w:textAlignment w:val="baseline"/>
    </w:pPr>
    <w:rPr>
      <w:snapToGrid w:val="0"/>
      <w:kern w:val="0"/>
      <w:sz w:val="28"/>
      <w:szCs w:val="20"/>
    </w:rPr>
  </w:style>
  <w:style w:type="character" w:customStyle="1" w:styleId="53">
    <w:name w:val="表格 Char"/>
    <w:link w:val="54"/>
    <w:qFormat/>
    <w:uiPriority w:val="0"/>
    <w:rPr>
      <w:rFonts w:ascii="宋体" w:eastAsia="宋体"/>
      <w:kern w:val="2"/>
      <w:sz w:val="21"/>
      <w:lang w:val="en-US" w:eastAsia="zh-CN" w:bidi="ar-SA"/>
    </w:rPr>
  </w:style>
  <w:style w:type="paragraph" w:customStyle="1" w:styleId="54">
    <w:name w:val="表格"/>
    <w:basedOn w:val="1"/>
    <w:link w:val="53"/>
    <w:qFormat/>
    <w:uiPriority w:val="0"/>
    <w:pPr>
      <w:spacing w:before="50" w:after="50"/>
      <w:jc w:val="center"/>
    </w:pPr>
    <w:rPr>
      <w:rFonts w:ascii="宋体"/>
      <w:szCs w:val="20"/>
    </w:rPr>
  </w:style>
  <w:style w:type="character" w:customStyle="1" w:styleId="55">
    <w:name w:val="15"/>
    <w:basedOn w:val="36"/>
    <w:qFormat/>
    <w:uiPriority w:val="0"/>
    <w:rPr>
      <w:rFonts w:hint="default" w:ascii="Calibri" w:hAnsi="Calibri" w:cs="Calibri"/>
      <w:b/>
      <w:bCs/>
    </w:rPr>
  </w:style>
  <w:style w:type="character" w:customStyle="1" w:styleId="56">
    <w:name w:val="报告正文 Char Char"/>
    <w:link w:val="57"/>
    <w:qFormat/>
    <w:uiPriority w:val="0"/>
    <w:rPr>
      <w:rFonts w:eastAsia="宋体"/>
      <w:kern w:val="2"/>
      <w:sz w:val="24"/>
      <w:szCs w:val="24"/>
      <w:lang w:val="en-US" w:eastAsia="zh-CN" w:bidi="ar-SA"/>
    </w:rPr>
  </w:style>
  <w:style w:type="paragraph" w:customStyle="1" w:styleId="57">
    <w:name w:val="报告正文"/>
    <w:basedOn w:val="1"/>
    <w:link w:val="56"/>
    <w:qFormat/>
    <w:uiPriority w:val="0"/>
    <w:pPr>
      <w:spacing w:line="360" w:lineRule="auto"/>
      <w:ind w:firstLine="200" w:firstLineChars="200"/>
      <w:jc w:val="left"/>
    </w:pPr>
    <w:rPr>
      <w:sz w:val="24"/>
      <w:szCs w:val="24"/>
    </w:rPr>
  </w:style>
  <w:style w:type="paragraph" w:customStyle="1" w:styleId="58">
    <w:name w:val="Table Paragraph"/>
    <w:basedOn w:val="1"/>
    <w:qFormat/>
    <w:uiPriority w:val="1"/>
    <w:pPr>
      <w:jc w:val="center"/>
    </w:pPr>
    <w:rPr>
      <w:rFonts w:ascii="宋体" w:hAnsi="宋体" w:eastAsia="宋体" w:cs="宋体"/>
      <w:lang w:val="zh-CN" w:eastAsia="zh-CN" w:bidi="zh-CN"/>
    </w:rPr>
  </w:style>
  <w:style w:type="paragraph" w:customStyle="1" w:styleId="59">
    <w:name w:val="Plain Text"/>
    <w:basedOn w:val="1"/>
    <w:qFormat/>
    <w:uiPriority w:val="0"/>
    <w:pPr>
      <w:widowControl w:val="0"/>
      <w:adjustRightInd/>
      <w:snapToGrid/>
      <w:spacing w:after="0" w:afterLines="0"/>
      <w:jc w:val="both"/>
    </w:pPr>
    <w:rPr>
      <w:rFonts w:ascii="宋体" w:hAnsi="Courier New" w:eastAsia="宋体" w:cs="Times New Roman"/>
      <w:kern w:val="2"/>
      <w:sz w:val="21"/>
      <w:szCs w:val="20"/>
    </w:rPr>
  </w:style>
  <w:style w:type="paragraph" w:customStyle="1" w:styleId="60">
    <w:name w:val="My前言"/>
    <w:basedOn w:val="1"/>
    <w:qFormat/>
    <w:uiPriority w:val="0"/>
    <w:pPr>
      <w:spacing w:line="360" w:lineRule="auto"/>
      <w:ind w:firstLine="880" w:firstLineChars="200"/>
    </w:pPr>
    <w:rPr>
      <w:rFonts w:cs="Times New Roman"/>
      <w:bCs/>
      <w:sz w:val="28"/>
      <w:szCs w:val="44"/>
    </w:rPr>
  </w:style>
  <w:style w:type="paragraph" w:customStyle="1" w:styleId="61">
    <w:name w:val="Body Text Indent 2"/>
    <w:basedOn w:val="1"/>
    <w:qFormat/>
    <w:uiPriority w:val="0"/>
    <w:pPr>
      <w:widowControl w:val="0"/>
      <w:snapToGrid/>
      <w:spacing w:after="0" w:afterLines="0" w:line="312" w:lineRule="atLeast"/>
      <w:ind w:firstLine="570"/>
      <w:jc w:val="distribute"/>
      <w:textAlignment w:val="baseline"/>
    </w:pPr>
    <w:rPr>
      <w:rFonts w:ascii="Times New Roman" w:hAnsi="Times New Roman" w:eastAsia="仿宋_GB2312" w:cs="Times New Roman"/>
      <w:sz w:val="28"/>
      <w:szCs w:val="20"/>
    </w:rPr>
  </w:style>
  <w:style w:type="paragraph" w:customStyle="1" w:styleId="62">
    <w:name w:val="正文小四"/>
    <w:basedOn w:val="1"/>
    <w:qFormat/>
    <w:uiPriority w:val="0"/>
    <w:pPr>
      <w:spacing w:line="360" w:lineRule="auto"/>
      <w:ind w:firstLine="200" w:firstLineChars="200"/>
    </w:pPr>
    <w:rPr>
      <w:sz w:val="24"/>
      <w:szCs w:val="20"/>
    </w:rPr>
  </w:style>
  <w:style w:type="paragraph" w:customStyle="1" w:styleId="63">
    <w:name w:val="1、表内字"/>
    <w:basedOn w:val="1"/>
    <w:qFormat/>
    <w:uiPriority w:val="0"/>
    <w:pPr>
      <w:jc w:val="center"/>
    </w:pPr>
    <w:rPr>
      <w:szCs w:val="21"/>
    </w:rPr>
  </w:style>
  <w:style w:type="paragraph" w:customStyle="1" w:styleId="64">
    <w:name w:val="标题一"/>
    <w:basedOn w:val="1"/>
    <w:qFormat/>
    <w:uiPriority w:val="0"/>
    <w:pPr>
      <w:numPr>
        <w:ilvl w:val="0"/>
        <w:numId w:val="4"/>
      </w:numPr>
      <w:spacing w:line="400" w:lineRule="exact"/>
      <w:jc w:val="center"/>
    </w:pPr>
    <w:rPr>
      <w:rFonts w:ascii="黑体" w:eastAsia="黑体"/>
      <w:sz w:val="30"/>
      <w:szCs w:val="30"/>
    </w:rPr>
  </w:style>
  <w:style w:type="paragraph" w:customStyle="1" w:styleId="65">
    <w:name w:val="表格字体"/>
    <w:qFormat/>
    <w:uiPriority w:val="0"/>
    <w:pPr>
      <w:keepNext/>
      <w:keepLines/>
      <w:jc w:val="center"/>
    </w:pPr>
    <w:rPr>
      <w:rFonts w:ascii="Calibri" w:hAnsi="Calibri" w:eastAsia="Calibri" w:cs="Times New Roman"/>
      <w:kern w:val="2"/>
      <w:sz w:val="21"/>
      <w:szCs w:val="24"/>
      <w:lang w:val="en-US" w:eastAsia="zh-CN" w:bidi="ar-SA"/>
    </w:rPr>
  </w:style>
  <w:style w:type="paragraph" w:customStyle="1" w:styleId="66">
    <w:name w:val="表格文字"/>
    <w:basedOn w:val="17"/>
    <w:next w:val="1"/>
    <w:qFormat/>
    <w:uiPriority w:val="0"/>
    <w:pPr>
      <w:adjustRightInd w:val="0"/>
      <w:spacing w:line="360" w:lineRule="atLeast"/>
      <w:jc w:val="center"/>
      <w:textAlignment w:val="baseline"/>
    </w:pPr>
    <w:rPr>
      <w:kern w:val="0"/>
    </w:rPr>
  </w:style>
  <w:style w:type="paragraph" w:customStyle="1" w:styleId="67">
    <w:name w:val=" Char4 Char Char Char"/>
    <w:basedOn w:val="1"/>
    <w:qFormat/>
    <w:uiPriority w:val="0"/>
    <w:pPr>
      <w:adjustRightInd w:val="0"/>
      <w:snapToGrid w:val="0"/>
      <w:spacing w:line="360" w:lineRule="auto"/>
      <w:ind w:firstLine="200" w:firstLineChars="200"/>
    </w:pPr>
    <w:rPr>
      <w:rFonts w:ascii="宋体" w:hAnsi="宋体" w:cs="宋体"/>
      <w:sz w:val="24"/>
      <w:szCs w:val="26"/>
    </w:rPr>
  </w:style>
  <w:style w:type="paragraph" w:customStyle="1" w:styleId="68">
    <w:name w:val="样式 标题 3 + 四号"/>
    <w:basedOn w:val="5"/>
    <w:qFormat/>
    <w:uiPriority w:val="0"/>
    <w:pPr>
      <w:numPr>
        <w:ilvl w:val="2"/>
        <w:numId w:val="5"/>
      </w:numPr>
      <w:tabs>
        <w:tab w:val="clear" w:pos="420"/>
        <w:tab w:val="clear" w:pos="720"/>
      </w:tabs>
      <w:snapToGrid w:val="0"/>
      <w:spacing w:before="0" w:beforeLines="0" w:after="0" w:afterLines="0" w:line="300" w:lineRule="auto"/>
    </w:pPr>
    <w:rPr>
      <w:sz w:val="28"/>
    </w:rPr>
  </w:style>
  <w:style w:type="paragraph" w:customStyle="1" w:styleId="69">
    <w:name w:val="报告表格"/>
    <w:basedOn w:val="1"/>
    <w:qFormat/>
    <w:uiPriority w:val="0"/>
    <w:pPr>
      <w:autoSpaceDE w:val="0"/>
      <w:autoSpaceDN w:val="0"/>
      <w:adjustRightInd w:val="0"/>
      <w:spacing w:before="40" w:beforeLines="0" w:after="40" w:afterLines="0"/>
      <w:jc w:val="center"/>
      <w:textAlignment w:val="baseline"/>
    </w:pPr>
    <w:rPr>
      <w:kern w:val="0"/>
      <w:szCs w:val="20"/>
    </w:rPr>
  </w:style>
  <w:style w:type="paragraph" w:customStyle="1" w:styleId="70">
    <w:name w:val="表格内容数据报告"/>
    <w:basedOn w:val="1"/>
    <w:qFormat/>
    <w:uiPriority w:val="0"/>
    <w:pPr>
      <w:adjustRightInd/>
      <w:spacing w:line="240" w:lineRule="auto"/>
      <w:ind w:firstLine="0" w:firstLineChars="0"/>
      <w:jc w:val="center"/>
      <w:textAlignment w:val="baseline"/>
    </w:pPr>
    <w:rPr>
      <w:kern w:val="0"/>
      <w:sz w:val="18"/>
      <w:szCs w:val="20"/>
    </w:rPr>
  </w:style>
  <w:style w:type="paragraph" w:customStyle="1" w:styleId="71">
    <w:name w:val="应填表格"/>
    <w:basedOn w:val="1"/>
    <w:qFormat/>
    <w:uiPriority w:val="0"/>
    <w:pPr>
      <w:adjustRightInd w:val="0"/>
      <w:spacing w:before="40" w:after="40"/>
      <w:jc w:val="left"/>
      <w:textAlignment w:val="baseline"/>
    </w:pPr>
    <w:rPr>
      <w:kern w:val="0"/>
      <w:sz w:val="24"/>
      <w:szCs w:val="20"/>
    </w:rPr>
  </w:style>
  <w:style w:type="paragraph" w:customStyle="1" w:styleId="72">
    <w:name w:val="Normal_80"/>
    <w:qFormat/>
    <w:uiPriority w:val="0"/>
    <w:pPr>
      <w:spacing w:before="120" w:after="240"/>
      <w:jc w:val="both"/>
    </w:pPr>
    <w:rPr>
      <w:rFonts w:ascii="Calibri" w:hAnsi="Calibri" w:eastAsia="Calibri" w:cs="Times New Roman"/>
      <w:sz w:val="22"/>
      <w:szCs w:val="22"/>
      <w:lang w:val="ru-RU" w:eastAsia="en-US" w:bidi="ar-SA"/>
    </w:rPr>
  </w:style>
  <w:style w:type="paragraph" w:customStyle="1" w:styleId="73">
    <w:name w:val=" Char"/>
    <w:basedOn w:val="1"/>
    <w:qFormat/>
    <w:uiPriority w:val="0"/>
  </w:style>
  <w:style w:type="paragraph" w:customStyle="1" w:styleId="74">
    <w:name w:val="报告表正文"/>
    <w:basedOn w:val="1"/>
    <w:qFormat/>
    <w:uiPriority w:val="0"/>
    <w:pPr>
      <w:adjustRightInd w:val="0"/>
      <w:spacing w:line="312" w:lineRule="auto"/>
      <w:ind w:left="113" w:right="113" w:firstLine="482"/>
      <w:jc w:val="left"/>
      <w:textAlignment w:val="baseline"/>
    </w:pPr>
    <w:rPr>
      <w:rFonts w:ascii="Times New Roman" w:hAnsi="Times New Roman"/>
      <w:color w:val="auto"/>
      <w:szCs w:val="20"/>
    </w:rPr>
  </w:style>
  <w:style w:type="paragraph" w:customStyle="1" w:styleId="75">
    <w:name w:val="Body Text Indent"/>
    <w:basedOn w:val="1"/>
    <w:qFormat/>
    <w:uiPriority w:val="0"/>
    <w:pPr>
      <w:widowControl w:val="0"/>
      <w:snapToGrid/>
      <w:spacing w:after="0" w:afterLines="0" w:line="233" w:lineRule="auto"/>
      <w:ind w:firstLine="570"/>
      <w:jc w:val="both"/>
      <w:textAlignment w:val="baseline"/>
    </w:pPr>
    <w:rPr>
      <w:rFonts w:ascii="仿宋_GB2312" w:hAnsi="Times New Roman" w:eastAsia="仿宋_GB2312" w:cs="Times New Roman"/>
      <w:sz w:val="28"/>
      <w:szCs w:val="20"/>
    </w:rPr>
  </w:style>
  <w:style w:type="paragraph" w:customStyle="1" w:styleId="76">
    <w:name w:val="样式 标题 1 + 四号 段前: 3 磅 段后: 0 磅 行距: 1.5 倍行距"/>
    <w:basedOn w:val="3"/>
    <w:qFormat/>
    <w:uiPriority w:val="0"/>
    <w:pPr>
      <w:spacing w:before="60" w:after="0" w:line="360" w:lineRule="auto"/>
    </w:pPr>
    <w:rPr>
      <w:rFonts w:eastAsia="黑体" w:cs="宋体"/>
      <w:sz w:val="28"/>
      <w:szCs w:val="20"/>
    </w:rPr>
  </w:style>
  <w:style w:type="paragraph" w:customStyle="1" w:styleId="77">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78">
    <w:name w:val="二级条标题"/>
    <w:basedOn w:val="1"/>
    <w:next w:val="1"/>
    <w:qFormat/>
    <w:uiPriority w:val="0"/>
    <w:pPr>
      <w:autoSpaceDE w:val="0"/>
      <w:autoSpaceDN w:val="0"/>
      <w:adjustRightInd w:val="0"/>
      <w:jc w:val="left"/>
    </w:pPr>
    <w:rPr>
      <w:kern w:val="0"/>
      <w:sz w:val="24"/>
    </w:rPr>
  </w:style>
  <w:style w:type="paragraph" w:customStyle="1" w:styleId="79">
    <w:name w:val="WPSOffice手动目录 2"/>
    <w:qFormat/>
    <w:uiPriority w:val="0"/>
    <w:pPr>
      <w:ind w:leftChars="200"/>
    </w:pPr>
    <w:rPr>
      <w:rFonts w:ascii="Times New Roman" w:hAnsi="Times New Roman" w:eastAsia="宋体" w:cs="Times New Roman"/>
      <w:lang w:val="en-US" w:eastAsia="zh-CN" w:bidi="ar-SA"/>
    </w:rPr>
  </w:style>
  <w:style w:type="paragraph" w:customStyle="1" w:styleId="80">
    <w:name w:val="List Paragraph1"/>
    <w:basedOn w:val="1"/>
    <w:qFormat/>
    <w:uiPriority w:val="0"/>
    <w:pPr>
      <w:spacing w:line="240" w:lineRule="auto"/>
      <w:ind w:firstLine="0" w:firstLineChars="0"/>
      <w:jc w:val="center"/>
    </w:pPr>
    <w:rPr>
      <w:kern w:val="0"/>
      <w:sz w:val="21"/>
      <w:szCs w:val="21"/>
    </w:rPr>
  </w:style>
  <w:style w:type="paragraph" w:styleId="81">
    <w:name w:val="List Paragraph"/>
    <w:basedOn w:val="1"/>
    <w:qFormat/>
    <w:uiPriority w:val="99"/>
    <w:pPr>
      <w:ind w:firstLine="420" w:firstLineChars="200"/>
    </w:pPr>
  </w:style>
  <w:style w:type="paragraph" w:customStyle="1" w:styleId="82">
    <w:name w:val="Normal (Web)"/>
    <w:basedOn w:val="1"/>
    <w:qFormat/>
    <w:uiPriority w:val="0"/>
    <w:pPr>
      <w:adjustRightInd/>
      <w:snapToGrid/>
      <w:spacing w:before="100" w:beforeLines="0" w:beforeAutospacing="1" w:after="100" w:afterLines="0" w:afterAutospacing="1"/>
    </w:pPr>
    <w:rPr>
      <w:rFonts w:ascii="宋体" w:hAnsi="宋体" w:eastAsia="宋体" w:cs="宋体"/>
      <w:sz w:val="24"/>
      <w:szCs w:val="24"/>
    </w:rPr>
  </w:style>
  <w:style w:type="paragraph" w:customStyle="1" w:styleId="83">
    <w:name w:val="样式 样式 标题 2 + 宋体 四号 + 行距: 单倍行距"/>
    <w:basedOn w:val="1"/>
    <w:qFormat/>
    <w:uiPriority w:val="0"/>
    <w:pPr>
      <w:keepNext/>
      <w:keepLines/>
      <w:numPr>
        <w:ilvl w:val="1"/>
        <w:numId w:val="1"/>
      </w:numPr>
      <w:adjustRightInd w:val="0"/>
      <w:snapToGrid w:val="0"/>
      <w:spacing w:before="120" w:beforeLines="0" w:after="120" w:afterLines="0"/>
      <w:outlineLvl w:val="1"/>
    </w:pPr>
    <w:rPr>
      <w:rFonts w:ascii="宋体" w:hAnsi="宋体" w:cs="宋体"/>
      <w:b/>
      <w:bCs/>
      <w:sz w:val="28"/>
      <w:szCs w:val="20"/>
    </w:rPr>
  </w:style>
  <w:style w:type="paragraph" w:customStyle="1" w:styleId="84">
    <w:name w:val="WPSOffice手动目录 1"/>
    <w:qFormat/>
    <w:uiPriority w:val="0"/>
    <w:rPr>
      <w:rFonts w:ascii="Times New Roman" w:hAnsi="Times New Roman" w:eastAsia="宋体" w:cs="Times New Roman"/>
      <w:lang w:val="en-US" w:eastAsia="zh-CN" w:bidi="ar-SA"/>
    </w:rPr>
  </w:style>
  <w:style w:type="paragraph" w:customStyle="1" w:styleId="85">
    <w:name w:val="p0"/>
    <w:basedOn w:val="1"/>
    <w:qFormat/>
    <w:uiPriority w:val="0"/>
    <w:pPr>
      <w:widowControl/>
    </w:pPr>
    <w:rPr>
      <w:kern w:val="0"/>
      <w:szCs w:val="21"/>
    </w:rPr>
  </w:style>
  <w:style w:type="paragraph" w:customStyle="1" w:styleId="86">
    <w:name w:val="No Spacing"/>
    <w:qFormat/>
    <w:uiPriority w:val="1"/>
    <w:pPr>
      <w:widowControl w:val="0"/>
      <w:spacing w:line="360" w:lineRule="auto"/>
      <w:contextualSpacing/>
      <w:jc w:val="both"/>
    </w:pPr>
    <w:rPr>
      <w:rFonts w:ascii="Calibri" w:hAnsi="Calibri" w:eastAsia="宋体" w:cs="Times New Roman"/>
      <w:kern w:val="2"/>
      <w:sz w:val="21"/>
      <w:szCs w:val="22"/>
      <w:lang w:val="en-US" w:eastAsia="zh-CN" w:bidi="ar-SA"/>
    </w:rPr>
  </w:style>
  <w:style w:type="paragraph" w:customStyle="1" w:styleId="87">
    <w:name w:val="Default"/>
    <w:basedOn w:val="1"/>
    <w:qFormat/>
    <w:uiPriority w:val="0"/>
    <w:pPr>
      <w:autoSpaceDE w:val="0"/>
      <w:autoSpaceDN w:val="0"/>
      <w:adjustRightInd w:val="0"/>
      <w:spacing w:line="240" w:lineRule="auto"/>
      <w:ind w:firstLine="0" w:firstLineChars="0"/>
      <w:jc w:val="left"/>
    </w:pPr>
    <w:rPr>
      <w:color w:val="000000"/>
    </w:rPr>
  </w:style>
  <w:style w:type="paragraph" w:customStyle="1" w:styleId="88">
    <w:name w:val="样式 正文缩进正文（首行缩进两字） + 宋体 行距: 1.5 倍行距"/>
    <w:basedOn w:val="9"/>
    <w:qFormat/>
    <w:uiPriority w:val="0"/>
    <w:pPr>
      <w:adjustRightInd w:val="0"/>
      <w:spacing w:line="300" w:lineRule="auto"/>
      <w:ind w:firstLine="482" w:firstLineChars="0"/>
      <w:jc w:val="left"/>
      <w:textAlignment w:val="baseline"/>
    </w:pPr>
    <w:rPr>
      <w:rFonts w:ascii="宋体" w:hAnsi="宋体"/>
      <w:sz w:val="24"/>
    </w:rPr>
  </w:style>
  <w:style w:type="paragraph" w:customStyle="1" w:styleId="89">
    <w:name w:val="报告"/>
    <w:basedOn w:val="1"/>
    <w:qFormat/>
    <w:uiPriority w:val="0"/>
    <w:pPr>
      <w:widowControl w:val="0"/>
      <w:snapToGrid/>
      <w:spacing w:after="0" w:line="360" w:lineRule="auto"/>
      <w:ind w:firstLine="505"/>
      <w:jc w:val="both"/>
      <w:textAlignment w:val="baseline"/>
    </w:pPr>
    <w:rPr>
      <w:rFonts w:ascii="Calibri" w:hAnsi="Calibri"/>
      <w:sz w:val="24"/>
      <w:szCs w:val="20"/>
    </w:rPr>
  </w:style>
  <w:style w:type="paragraph" w:customStyle="1" w:styleId="90">
    <w:name w:val="正文1"/>
    <w:basedOn w:val="20"/>
    <w:qFormat/>
    <w:uiPriority w:val="0"/>
    <w:pPr>
      <w:widowControl/>
      <w:spacing w:line="312" w:lineRule="auto"/>
      <w:ind w:left="0" w:leftChars="0" w:firstLine="200" w:firstLineChars="200"/>
    </w:pPr>
    <w:rPr>
      <w:rFonts w:ascii="Times New Roman" w:hAnsi="Times New Roman" w:eastAsia="宋体" w:cs="Times New Roman"/>
      <w:sz w:val="24"/>
      <w:szCs w:val="24"/>
    </w:rPr>
  </w:style>
  <w:style w:type="paragraph" w:customStyle="1" w:styleId="91">
    <w:name w:val="正文新 Char"/>
    <w:basedOn w:val="1"/>
    <w:qFormat/>
    <w:uiPriority w:val="0"/>
    <w:pPr>
      <w:spacing w:line="360" w:lineRule="auto"/>
      <w:ind w:firstLine="480" w:firstLineChars="200"/>
    </w:pPr>
    <w:rPr>
      <w:rFonts w:ascii="Times New Roman" w:hAnsi="Times New Roman" w:cs="宋体"/>
      <w:sz w:val="24"/>
      <w:szCs w:val="20"/>
    </w:rPr>
  </w:style>
  <w:style w:type="paragraph" w:customStyle="1" w:styleId="92">
    <w:name w:val="表内字"/>
    <w:basedOn w:val="1"/>
    <w:qFormat/>
    <w:uiPriority w:val="0"/>
    <w:pPr>
      <w:snapToGrid w:val="0"/>
      <w:jc w:val="center"/>
    </w:pPr>
    <w:rPr>
      <w:rFonts w:cs="宋体"/>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0" Type="http://schemas.openxmlformats.org/officeDocument/2006/relationships/fontTable" Target="fontTable.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5.png"/><Relationship Id="rId36" Type="http://schemas.openxmlformats.org/officeDocument/2006/relationships/image" Target="media/image14.png"/><Relationship Id="rId35" Type="http://schemas.openxmlformats.org/officeDocument/2006/relationships/image" Target="media/image13.png"/><Relationship Id="rId34" Type="http://schemas.openxmlformats.org/officeDocument/2006/relationships/image" Target="media/image12.png"/><Relationship Id="rId33" Type="http://schemas.openxmlformats.org/officeDocument/2006/relationships/image" Target="media/image11.png"/><Relationship Id="rId32" Type="http://schemas.openxmlformats.org/officeDocument/2006/relationships/image" Target="media/image10.png"/><Relationship Id="rId31" Type="http://schemas.openxmlformats.org/officeDocument/2006/relationships/image" Target="media/image9.png"/><Relationship Id="rId30" Type="http://schemas.openxmlformats.org/officeDocument/2006/relationships/image" Target="media/image8.emf"/><Relationship Id="rId3" Type="http://schemas.openxmlformats.org/officeDocument/2006/relationships/header" Target="header1.xml"/><Relationship Id="rId29" Type="http://schemas.openxmlformats.org/officeDocument/2006/relationships/oleObject" Target="embeddings/oleObject7.bin"/><Relationship Id="rId28" Type="http://schemas.openxmlformats.org/officeDocument/2006/relationships/image" Target="media/image7.emf"/><Relationship Id="rId27" Type="http://schemas.openxmlformats.org/officeDocument/2006/relationships/oleObject" Target="embeddings/oleObject6.bin"/><Relationship Id="rId26" Type="http://schemas.openxmlformats.org/officeDocument/2006/relationships/image" Target="media/image6.emf"/><Relationship Id="rId25" Type="http://schemas.openxmlformats.org/officeDocument/2006/relationships/oleObject" Target="embeddings/oleObject5.bin"/><Relationship Id="rId24" Type="http://schemas.openxmlformats.org/officeDocument/2006/relationships/image" Target="media/image5.emf"/><Relationship Id="rId23" Type="http://schemas.openxmlformats.org/officeDocument/2006/relationships/oleObject" Target="embeddings/oleObject4.bin"/><Relationship Id="rId22" Type="http://schemas.openxmlformats.org/officeDocument/2006/relationships/image" Target="media/image4.emf"/><Relationship Id="rId21" Type="http://schemas.openxmlformats.org/officeDocument/2006/relationships/oleObject" Target="embeddings/oleObject3.bin"/><Relationship Id="rId20" Type="http://schemas.openxmlformats.org/officeDocument/2006/relationships/image" Target="media/image3.e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2.emf"/><Relationship Id="rId17" Type="http://schemas.openxmlformats.org/officeDocument/2006/relationships/oleObject" Target="embeddings/oleObject1.bin"/><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acer</Company>
  <Pages>52</Pages>
  <Words>14457</Words>
  <Characters>15781</Characters>
  <Lines>140</Lines>
  <Paragraphs>39</Paragraphs>
  <TotalTime>7</TotalTime>
  <ScaleCrop>false</ScaleCrop>
  <LinksUpToDate>false</LinksUpToDate>
  <CharactersWithSpaces>15970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2018-05-28T01:06:00Z</dcterms:created>
  <dc:creator>acer user</dc:creator>
  <cp:lastModifiedBy>WPS_1621302572</cp:lastModifiedBy>
  <cp:lastPrinted>2022-05-16T02:22:00Z</cp:lastPrinted>
  <dcterms:modified xsi:type="dcterms:W3CDTF">2026-07-23T08:17:23Z</dcterms:modified>
  <dc:title>表一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59D2729B8A0F4B888081205EF6087816_13</vt:lpwstr>
  </property>
  <property fmtid="{D5CDD505-2E9C-101B-9397-08002B2CF9AE}" pid="4" name="KSOTemplateDocerSaveRecord">
    <vt:lpwstr>eyJoZGlkIjoiZjBlMjQ2ZDhlYzE4MDY0YWE5ZDdmODAyNWNkM2M4ZWIiLCJ1c2VySWQiOiIxMjEzNjA0NTkwIn0=</vt:lpwstr>
  </property>
</Properties>
</file>