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bCs/>
          <w:color w:val="000000" w:themeColor="text1"/>
          <w:sz w:val="30"/>
          <w:szCs w:val="30"/>
          <w14:textFill>
            <w14:solidFill>
              <w14:schemeClr w14:val="tx1"/>
            </w14:solidFill>
          </w14:textFill>
        </w:rPr>
      </w:pPr>
      <w:r>
        <w:rPr>
          <w:rFonts w:hint="eastAsia" w:ascii="Times New Roman" w:hAnsi="Times New Roman" w:cs="仿宋"/>
          <w:b/>
          <w:bCs/>
          <w:color w:val="000000" w:themeColor="text1"/>
          <w:sz w:val="30"/>
          <w:szCs w:val="30"/>
          <w14:textFill>
            <w14:solidFill>
              <w14:schemeClr w14:val="tx1"/>
            </w14:solidFill>
          </w14:textFill>
        </w:rPr>
        <w:t>G542旺苍县城嘉川至东河段公路工程配套XC系列稳定土厂拌配料项目</w:t>
      </w: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ascii="Times New Roman" w:hAnsi="Times New Roman" w:cs="Times New Roman"/>
          <w:bCs/>
          <w:color w:val="000000" w:themeColor="text1"/>
          <w:sz w:val="28"/>
          <w:szCs w:val="28"/>
          <w:lang w:val="en-US" w:eastAsia="zh-CN"/>
          <w14:textFill>
            <w14:solidFill>
              <w14:schemeClr w14:val="tx1"/>
            </w14:solidFill>
          </w14:textFill>
        </w:rPr>
        <w:t>2021年7月31日，辽宁五洲公路工程有限责任公司在XC系列稳定土厂拌配料站主持召开了G542旺苍县城嘉川至东河段公路工程配套XC系列稳定土厂拌配料项目竣工环</w:t>
      </w:r>
      <w:r>
        <w:rPr>
          <w:rFonts w:hint="eastAsia"/>
          <w:bCs/>
          <w:color w:val="000000" w:themeColor="text1"/>
          <w:sz w:val="28"/>
          <w:szCs w:val="28"/>
          <w:lang w:val="en-US" w:eastAsia="zh-CN"/>
          <w14:textFill>
            <w14:solidFill>
              <w14:schemeClr w14:val="tx1"/>
            </w14:solidFill>
          </w14:textFill>
        </w:rPr>
        <w:t>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Times New Roman" w:hAnsi="Times New Roman" w:cs="Times New Roman"/>
          <w:bCs/>
          <w:color w:val="000000" w:themeColor="text1"/>
          <w:sz w:val="28"/>
          <w:szCs w:val="28"/>
          <w:lang w:val="en-US" w:eastAsia="zh-CN"/>
          <w14:textFill>
            <w14:solidFill>
              <w14:schemeClr w14:val="tx1"/>
            </w14:solidFill>
          </w14:textFill>
        </w:rPr>
        <w:t>G542旺苍县城嘉川至东河段公路工程配套XC系列稳定土厂拌配料</w:t>
      </w:r>
      <w:r>
        <w:rPr>
          <w:rFonts w:hint="eastAsia" w:ascii="宋体" w:hAnsi="宋体" w:cs="宋体"/>
          <w:color w:val="000000" w:themeColor="text1"/>
          <w:sz w:val="28"/>
          <w:szCs w:val="28"/>
          <w:lang w:val="en-US" w:eastAsia="zh-CN"/>
          <w14:textFill>
            <w14:solidFill>
              <w14:schemeClr w14:val="tx1"/>
            </w14:solidFill>
          </w14:textFill>
        </w:rPr>
        <w:t>站位于旺苍县嘉川镇和平村，主要生产水泥稳定</w:t>
      </w:r>
      <w:r>
        <w:rPr>
          <w:rFonts w:hint="eastAsia" w:ascii="宋体" w:hAnsi="宋体" w:cs="宋体"/>
          <w:color w:val="000000" w:themeColor="text1"/>
          <w:sz w:val="28"/>
          <w:szCs w:val="28"/>
          <w:lang w:eastAsia="zh-CN"/>
          <w14:textFill>
            <w14:solidFill>
              <w14:schemeClr w14:val="tx1"/>
            </w14:solidFill>
          </w14:textFill>
        </w:rPr>
        <w:t>土</w:t>
      </w:r>
      <w:r>
        <w:rPr>
          <w:rFonts w:hint="eastAsia" w:ascii="宋体" w:hAnsi="宋体" w:cs="宋体"/>
          <w:color w:val="000000" w:themeColor="text1"/>
          <w:sz w:val="28"/>
          <w:szCs w:val="28"/>
          <w:lang w:val="en-US" w:eastAsia="zh-CN"/>
          <w14:textFill>
            <w14:solidFill>
              <w14:schemeClr w14:val="tx1"/>
            </w14:solidFill>
          </w14:textFill>
        </w:rPr>
        <w:t>。该项目占地面积约为800m</w:t>
      </w:r>
      <w:r>
        <w:rPr>
          <w:rFonts w:hint="eastAsia" w:ascii="宋体" w:hAnsi="宋体" w:cs="宋体"/>
          <w:color w:val="000000" w:themeColor="text1"/>
          <w:sz w:val="28"/>
          <w:szCs w:val="28"/>
          <w:vertAlign w:val="superscript"/>
          <w:lang w:val="en-US" w:eastAsia="zh-CN"/>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项目环保投资</w:t>
      </w:r>
      <w:r>
        <w:rPr>
          <w:rFonts w:hint="eastAsia" w:ascii="宋体" w:hAnsi="宋体" w:cs="宋体"/>
          <w:color w:val="000000" w:themeColor="text1"/>
          <w:sz w:val="28"/>
          <w:szCs w:val="28"/>
          <w:lang w:val="en-US" w:eastAsia="zh-CN"/>
          <w14:textFill>
            <w14:solidFill>
              <w14:schemeClr w14:val="tx1"/>
            </w14:solidFill>
          </w14:textFill>
        </w:rPr>
        <w:t>31</w:t>
      </w:r>
      <w:r>
        <w:rPr>
          <w:rFonts w:hint="eastAsia" w:ascii="宋体" w:hAnsi="宋体" w:cs="宋体"/>
          <w:color w:val="000000" w:themeColor="text1"/>
          <w:sz w:val="28"/>
          <w:szCs w:val="28"/>
          <w:lang w:eastAsia="zh-CN"/>
          <w14:textFill>
            <w14:solidFill>
              <w14:schemeClr w14:val="tx1"/>
            </w14:solidFill>
          </w14:textFill>
        </w:rPr>
        <w:t>万元，年产</w:t>
      </w:r>
      <w:r>
        <w:rPr>
          <w:rFonts w:hint="eastAsia" w:ascii="宋体" w:hAnsi="宋体" w:cs="宋体"/>
          <w:color w:val="000000" w:themeColor="text1"/>
          <w:sz w:val="28"/>
          <w:szCs w:val="28"/>
          <w:lang w:val="en-US" w:eastAsia="zh-CN"/>
          <w14:textFill>
            <w14:solidFill>
              <w14:schemeClr w14:val="tx1"/>
            </w14:solidFill>
          </w14:textFill>
        </w:rPr>
        <w:t>100000</w:t>
      </w:r>
      <w:r>
        <w:rPr>
          <w:rFonts w:hint="eastAsia" w:ascii="宋体" w:hAnsi="宋体" w:cs="宋体"/>
          <w:color w:val="000000" w:themeColor="text1"/>
          <w:sz w:val="28"/>
          <w:szCs w:val="28"/>
          <w:lang w:eastAsia="zh-CN"/>
          <w14:textFill>
            <w14:solidFill>
              <w14:schemeClr w14:val="tx1"/>
            </w14:solidFill>
          </w14:textFill>
        </w:rPr>
        <w:t>立方米水泥稳定土。</w:t>
      </w:r>
      <w:r>
        <w:rPr>
          <w:rFonts w:hint="eastAsia" w:ascii="宋体" w:hAnsi="宋体" w:cs="宋体"/>
          <w:color w:val="000000" w:themeColor="text1"/>
          <w:sz w:val="28"/>
          <w:szCs w:val="28"/>
          <w:lang w:val="en-US" w:eastAsia="zh-CN"/>
          <w14:textFill>
            <w14:solidFill>
              <w14:schemeClr w14:val="tx1"/>
            </w14:solidFill>
          </w14:textFill>
        </w:rPr>
        <w:t>本项目工作人员15人，企业年生产280天，8小时工作制。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项目主要污染因子是噪声、废气、废水、固废。目前该项目主体设施和与之配套的环境保护设施运行正常。项目于20</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月完成了《</w:t>
      </w: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月由</w:t>
      </w:r>
      <w:r>
        <w:rPr>
          <w:rFonts w:hint="eastAsia" w:ascii="宋体" w:hAnsi="宋体" w:cs="宋体"/>
          <w:color w:val="000000" w:themeColor="text1"/>
          <w:sz w:val="28"/>
          <w:szCs w:val="28"/>
          <w:lang w:val="en-US" w:eastAsia="zh-CN"/>
          <w14:textFill>
            <w14:solidFill>
              <w14:schemeClr w14:val="tx1"/>
            </w14:solidFill>
          </w14:textFill>
        </w:rPr>
        <w:t>旺苍县环境保护局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s="宋体"/>
          <w:color w:val="000000" w:themeColor="text1"/>
          <w:sz w:val="28"/>
          <w:szCs w:val="28"/>
          <w:lang w:val="en-US" w:eastAsia="zh-CN"/>
          <w14:textFill>
            <w14:solidFill>
              <w14:schemeClr w14:val="tx1"/>
            </w14:solidFill>
          </w14:textFill>
        </w:rPr>
        <w:t>旺环审批[2018]40号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关于G542旺苍县城嘉川至东河段公路工程项目环境影响报告表的批复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本项目主要废气污染物为粉尘，</w:t>
      </w:r>
      <w:r>
        <w:rPr>
          <w:rFonts w:hint="eastAsia" w:ascii="宋体" w:hAnsi="宋体" w:eastAsia="宋体" w:cs="宋体"/>
          <w:sz w:val="28"/>
          <w:szCs w:val="28"/>
          <w:lang w:val="en-US" w:eastAsia="zh-CN"/>
        </w:rPr>
        <w:t>均为无组织排放。</w:t>
      </w:r>
      <w:r>
        <w:rPr>
          <w:rFonts w:hint="eastAsia" w:ascii="宋体" w:hAnsi="宋体" w:eastAsia="宋体" w:cs="宋体"/>
          <w:sz w:val="28"/>
          <w:szCs w:val="28"/>
        </w:rPr>
        <w:t>项目粉尘主要来源有石、砂等骨料在上料、输送过程中产生的粉尘；散装水泥和粉煤灰运输车抽料防空（即由罐车通过气力输送装置筒仓）产生的粉尘</w:t>
      </w:r>
      <w:r>
        <w:rPr>
          <w:rFonts w:hint="eastAsia" w:ascii="宋体" w:hAnsi="宋体" w:eastAsia="宋体" w:cs="宋体"/>
          <w:sz w:val="28"/>
          <w:szCs w:val="28"/>
          <w:lang w:eastAsia="zh-CN"/>
        </w:rPr>
        <w:t>、</w:t>
      </w:r>
      <w:r>
        <w:rPr>
          <w:rFonts w:hint="eastAsia" w:ascii="宋体" w:hAnsi="宋体" w:eastAsia="宋体" w:cs="宋体"/>
          <w:sz w:val="28"/>
          <w:szCs w:val="28"/>
        </w:rPr>
        <w:t>原料堆场扬尘</w:t>
      </w:r>
      <w:r>
        <w:rPr>
          <w:rFonts w:hint="eastAsia" w:ascii="宋体" w:hAnsi="宋体" w:eastAsia="宋体" w:cs="宋体"/>
          <w:sz w:val="28"/>
          <w:szCs w:val="28"/>
          <w:lang w:eastAsia="zh-CN"/>
        </w:rPr>
        <w:t>和</w:t>
      </w:r>
      <w:r>
        <w:rPr>
          <w:rFonts w:hint="eastAsia" w:ascii="宋体" w:hAnsi="宋体" w:eastAsia="宋体" w:cs="宋体"/>
          <w:sz w:val="28"/>
          <w:szCs w:val="28"/>
        </w:rPr>
        <w:t>汽车扬尘。</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val="en-US" w:eastAsia="zh-CN"/>
        </w:rPr>
        <w:t>安装有2台布袋除尘器</w:t>
      </w:r>
      <w:r>
        <w:rPr>
          <w:rFonts w:hint="eastAsia" w:ascii="宋体" w:hAnsi="宋体" w:eastAsia="宋体" w:cs="宋体"/>
          <w:sz w:val="28"/>
          <w:szCs w:val="28"/>
        </w:rPr>
        <w:t>，</w:t>
      </w:r>
      <w:r>
        <w:rPr>
          <w:rFonts w:hint="eastAsia" w:ascii="宋体" w:hAnsi="宋体" w:eastAsia="宋体" w:cs="宋体"/>
          <w:sz w:val="28"/>
          <w:szCs w:val="28"/>
          <w:lang w:val="en-US" w:eastAsia="zh-CN"/>
        </w:rPr>
        <w:t>在经除尘器处理后的粉尘直接排放</w:t>
      </w:r>
      <w:r>
        <w:rPr>
          <w:rFonts w:hint="eastAsia" w:ascii="宋体" w:hAnsi="宋体" w:eastAsia="宋体" w:cs="宋体"/>
          <w:sz w:val="28"/>
          <w:szCs w:val="28"/>
        </w:rPr>
        <w:t>；骨料在上料、输送过程中产生的粉尘</w:t>
      </w:r>
      <w:r>
        <w:rPr>
          <w:rFonts w:hint="eastAsia" w:ascii="宋体" w:hAnsi="宋体" w:eastAsia="宋体" w:cs="宋体"/>
          <w:sz w:val="28"/>
          <w:szCs w:val="28"/>
          <w:lang w:eastAsia="zh-CN"/>
        </w:rPr>
        <w:t>经喷雾降尘后排放</w:t>
      </w:r>
      <w:r>
        <w:rPr>
          <w:rFonts w:hint="eastAsia" w:ascii="宋体" w:hAnsi="宋体" w:eastAsia="宋体" w:cs="宋体"/>
          <w:sz w:val="28"/>
          <w:szCs w:val="28"/>
        </w:rPr>
        <w:t>，不会对周边环境产生明显影响，项目将对原料堆场设置密闭加盖顶棚，同时，做好原料堆场净出口路面的清扫及洒水抑尘措施。本项目指派专人对厂区内地面进行路面清扫、洒水，可以减少道路扬尘量。</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项目的主要废水为生活污水。</w:t>
      </w:r>
    </w:p>
    <w:p>
      <w:pPr>
        <w:spacing w:line="360" w:lineRule="auto"/>
        <w:outlineLvl w:val="2"/>
        <w:rPr>
          <w:rFonts w:hint="default" w:ascii="宋体" w:hAnsi="宋体" w:eastAsia="宋体" w:cs="宋体"/>
          <w:sz w:val="28"/>
          <w:szCs w:val="28"/>
          <w:lang w:val="en-US" w:eastAsia="zh-CN"/>
        </w:rPr>
      </w:pPr>
      <w:r>
        <w:rPr>
          <w:rFonts w:hint="eastAsia" w:ascii="宋体" w:hAnsi="宋体" w:eastAsia="宋体" w:cs="宋体"/>
          <w:sz w:val="28"/>
          <w:szCs w:val="28"/>
        </w:rPr>
        <w:t>生活污水：员工生活废水进入</w:t>
      </w:r>
      <w:r>
        <w:rPr>
          <w:rFonts w:hint="eastAsia" w:ascii="宋体" w:hAnsi="宋体" w:eastAsia="宋体" w:cs="宋体"/>
          <w:sz w:val="28"/>
          <w:szCs w:val="28"/>
          <w:lang w:eastAsia="zh-CN"/>
        </w:rPr>
        <w:t>化粪</w:t>
      </w:r>
      <w:r>
        <w:rPr>
          <w:rFonts w:hint="eastAsia" w:ascii="宋体" w:hAnsi="宋体" w:eastAsia="宋体" w:cs="宋体"/>
          <w:sz w:val="28"/>
          <w:szCs w:val="28"/>
        </w:rPr>
        <w:t>池，</w:t>
      </w:r>
      <w:r>
        <w:rPr>
          <w:rFonts w:hint="eastAsia" w:ascii="宋体" w:hAnsi="宋体" w:eastAsia="宋体" w:cs="宋体"/>
          <w:sz w:val="28"/>
          <w:szCs w:val="28"/>
          <w:lang w:val="en-US" w:eastAsia="zh-CN"/>
        </w:rPr>
        <w:t>经化粪池处理后用于周边农田施肥。</w:t>
      </w:r>
    </w:p>
    <w:p>
      <w:pPr>
        <w:jc w:val="left"/>
        <w:rPr>
          <w:rFonts w:ascii="宋体" w:hAnsi="宋体" w:cs="宋体"/>
          <w:b/>
          <w:bCs/>
          <w:sz w:val="28"/>
          <w:szCs w:val="28"/>
        </w:rPr>
      </w:pPr>
      <w:r>
        <w:rPr>
          <w:rFonts w:hint="eastAsia" w:ascii="宋体" w:hAnsi="宋体" w:cs="宋体"/>
          <w:b/>
          <w:bCs/>
          <w:sz w:val="28"/>
          <w:szCs w:val="28"/>
        </w:rPr>
        <w:t xml:space="preserve">3、噪声 </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本项目生产过程中的噪声源为装载机、搅拌机、运输车辆、水泵、上料皮带机、空压机等各种设备噪声。其噪声源强度在</w:t>
      </w:r>
      <w:r>
        <w:rPr>
          <w:rFonts w:hint="eastAsia" w:ascii="宋体" w:hAnsi="宋体" w:eastAsia="宋体" w:cs="宋体"/>
          <w:sz w:val="28"/>
          <w:szCs w:val="28"/>
          <w:lang w:val="en-US" w:eastAsia="zh-CN"/>
        </w:rPr>
        <w:t>65</w:t>
      </w:r>
      <w:r>
        <w:rPr>
          <w:rFonts w:hint="eastAsia" w:ascii="宋体" w:hAnsi="宋体" w:eastAsia="宋体" w:cs="宋体"/>
          <w:sz w:val="28"/>
          <w:szCs w:val="28"/>
        </w:rPr>
        <w:t>~</w:t>
      </w:r>
      <w:r>
        <w:rPr>
          <w:rFonts w:hint="eastAsia" w:ascii="宋体" w:hAnsi="宋体" w:eastAsia="宋体" w:cs="宋体"/>
          <w:sz w:val="28"/>
          <w:szCs w:val="28"/>
          <w:lang w:val="en-US" w:eastAsia="zh-CN"/>
        </w:rPr>
        <w:t>95</w:t>
      </w:r>
      <w:r>
        <w:rPr>
          <w:rFonts w:hint="eastAsia" w:ascii="宋体" w:hAnsi="宋体" w:eastAsia="宋体" w:cs="宋体"/>
          <w:sz w:val="28"/>
          <w:szCs w:val="28"/>
        </w:rPr>
        <w:t>dB（A），</w:t>
      </w:r>
      <w:r>
        <w:rPr>
          <w:rFonts w:hint="eastAsia" w:ascii="宋体" w:hAnsi="宋体" w:eastAsia="宋体" w:cs="宋体"/>
          <w:sz w:val="28"/>
          <w:szCs w:val="28"/>
          <w:lang w:val="en-US" w:eastAsia="zh-CN"/>
        </w:rPr>
        <w:t>项目</w:t>
      </w:r>
      <w:r>
        <w:rPr>
          <w:rFonts w:hint="eastAsia" w:ascii="宋体" w:hAnsi="宋体" w:eastAsia="宋体" w:cs="宋体"/>
          <w:sz w:val="28"/>
          <w:szCs w:val="28"/>
        </w:rPr>
        <w:t>合理布局；选用低噪声设备；项目的堆场及搅拌区均采取封闭作业；安装时采取台基减震、橡胶减震接头以及减震垫等措施；设备定期维护，以防设备故障形成的非正常生产噪声；进入车辆严禁鸣号，进入厂区低速行驶</w:t>
      </w:r>
      <w:r>
        <w:rPr>
          <w:rFonts w:hint="eastAsia" w:ascii="宋体" w:hAnsi="宋体" w:eastAsia="宋体" w:cs="宋体"/>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6"/>
        <w:spacing w:line="360" w:lineRule="auto"/>
        <w:ind w:firstLine="560"/>
        <w:rPr>
          <w:rFonts w:hint="eastAsia" w:ascii="宋体" w:hAnsi="宋体" w:eastAsia="宋体" w:cs="宋体"/>
          <w:kern w:val="2"/>
          <w:sz w:val="28"/>
          <w:szCs w:val="28"/>
          <w:lang w:val="en-US" w:eastAsia="zh-CN" w:bidi="ar-SA"/>
        </w:rPr>
      </w:pPr>
      <w:bookmarkStart w:id="0" w:name="OLE_LINK16"/>
      <w:r>
        <w:rPr>
          <w:rFonts w:hint="eastAsia" w:ascii="宋体" w:hAnsi="宋体" w:eastAsia="宋体" w:cs="宋体"/>
          <w:kern w:val="2"/>
          <w:sz w:val="28"/>
          <w:szCs w:val="28"/>
          <w:lang w:val="en-US" w:eastAsia="zh-CN" w:bidi="ar-SA"/>
        </w:rPr>
        <w:t>本项目产生的固体废物主要固体废物是生产废料、生活垃圾，以及车辆及设备维修过程中产生的少量含油棉纱、手套。</w:t>
      </w:r>
    </w:p>
    <w:bookmarkEnd w:id="0"/>
    <w:p>
      <w:pPr>
        <w:pStyle w:val="4"/>
        <w:numPr>
          <w:ilvl w:val="1"/>
          <w:numId w:val="0"/>
        </w:numPr>
        <w:spacing w:line="360" w:lineRule="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1、生活垃圾：采用集中袋装和桶装收集后统一堆放，由环卫部门集中运至当地垃圾处理站处置。</w:t>
      </w:r>
    </w:p>
    <w:p>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2、生产固废：项目筒仓仓顶除尘器收集粉尘直接落入水泥料仓内，混料搅拌粉尘经过袋式除尘器处理后排气筒排放，除尘器的粉尘收集后作为原料回用，不外排。</w:t>
      </w:r>
    </w:p>
    <w:p>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3、危险废物：项目设备的维护保养由旺苍县三洋汽车修理厂完成，机修过程中产生的少量废含油棉纱及手套由旺苍县三洋汽车修理厂带走，现场不设危废暂存间。</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default" w:ascii="Times New Roman" w:hAnsi="Times New Roman" w:cs="Times New Roman"/>
          <w:color w:val="auto"/>
          <w:sz w:val="28"/>
        </w:rPr>
      </w:pPr>
      <w:r>
        <w:rPr>
          <w:rFonts w:hint="default" w:ascii="Times New Roman" w:hAnsi="Times New Roman" w:cs="Times New Roman"/>
          <w:color w:val="auto"/>
          <w:sz w:val="28"/>
          <w:lang w:val="en-US" w:eastAsia="zh-CN"/>
        </w:rPr>
        <w:t>202</w:t>
      </w:r>
      <w:r>
        <w:rPr>
          <w:rFonts w:hint="eastAsia" w:ascii="Times New Roman" w:hAnsi="Times New Roman" w:cs="Times New Roman"/>
          <w:color w:val="auto"/>
          <w:sz w:val="28"/>
          <w:lang w:val="en-US" w:eastAsia="zh-CN"/>
        </w:rPr>
        <w:t>1</w:t>
      </w:r>
      <w:r>
        <w:rPr>
          <w:rFonts w:hint="default" w:ascii="Times New Roman" w:hAnsi="Times New Roman" w:cs="Times New Roman"/>
          <w:color w:val="auto"/>
          <w:sz w:val="28"/>
        </w:rPr>
        <w:t>年</w:t>
      </w:r>
      <w:r>
        <w:rPr>
          <w:rFonts w:hint="eastAsia" w:ascii="Times New Roman" w:hAnsi="Times New Roman" w:cs="Times New Roman"/>
          <w:color w:val="auto"/>
          <w:sz w:val="28"/>
          <w:lang w:val="en-US" w:eastAsia="zh-CN"/>
        </w:rPr>
        <w:t>5</w:t>
      </w:r>
      <w:r>
        <w:rPr>
          <w:rFonts w:hint="default" w:ascii="Times New Roman" w:hAnsi="Times New Roman" w:cs="Times New Roman"/>
          <w:color w:val="auto"/>
          <w:sz w:val="28"/>
        </w:rPr>
        <w:t>月</w:t>
      </w:r>
      <w:r>
        <w:rPr>
          <w:rFonts w:hint="eastAsia" w:ascii="Times New Roman" w:hAnsi="Times New Roman" w:cs="Times New Roman"/>
          <w:color w:val="auto"/>
          <w:sz w:val="28"/>
          <w:lang w:val="en-US" w:eastAsia="zh-CN"/>
        </w:rPr>
        <w:t>25</w:t>
      </w:r>
      <w:r>
        <w:rPr>
          <w:rFonts w:hint="default" w:ascii="Times New Roman" w:hAnsi="Times New Roman" w:cs="Times New Roman"/>
          <w:color w:val="auto"/>
          <w:sz w:val="28"/>
        </w:rPr>
        <w:t>、</w:t>
      </w:r>
      <w:r>
        <w:rPr>
          <w:rFonts w:hint="eastAsia" w:ascii="Times New Roman" w:hAnsi="Times New Roman" w:cs="Times New Roman"/>
          <w:color w:val="auto"/>
          <w:sz w:val="28"/>
          <w:lang w:val="en-US" w:eastAsia="zh-CN"/>
        </w:rPr>
        <w:t>26</w:t>
      </w:r>
      <w:r>
        <w:rPr>
          <w:rFonts w:hint="default" w:ascii="Times New Roman" w:hAnsi="Times New Roman" w:cs="Times New Roman"/>
          <w:color w:val="auto"/>
          <w:sz w:val="28"/>
        </w:rPr>
        <w:t>日验收监测期间，</w:t>
      </w:r>
      <w:r>
        <w:rPr>
          <w:rFonts w:hint="default" w:ascii="Times New Roman" w:hAnsi="Times New Roman" w:cs="Times New Roman"/>
          <w:color w:val="auto"/>
          <w:sz w:val="28"/>
          <w:lang w:val="en-US" w:eastAsia="zh-CN"/>
        </w:rPr>
        <w:t>本项目无组织排放废气中颗粒物的排放浓度满足《水泥工业大气污染物排放标准》（GB4915-2013）表3中无组织排放监控浓度限值要求。</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rPr>
          <w:rFonts w:hint="default" w:ascii="Times New Roman" w:hAnsi="Times New Roman" w:cs="Times New Roman"/>
          <w:color w:val="auto"/>
          <w:sz w:val="28"/>
          <w:lang w:val="en-US" w:eastAsia="zh-CN"/>
        </w:rPr>
      </w:pPr>
      <w:r>
        <w:rPr>
          <w:rFonts w:hint="default" w:ascii="Times New Roman" w:hAnsi="Times New Roman" w:cs="Times New Roman"/>
          <w:color w:val="auto"/>
          <w:sz w:val="28"/>
          <w:lang w:val="en-US" w:eastAsia="zh-CN"/>
        </w:rPr>
        <w:t>202</w:t>
      </w:r>
      <w:r>
        <w:rPr>
          <w:rFonts w:hint="eastAsia" w:ascii="Times New Roman" w:hAnsi="Times New Roman" w:cs="Times New Roman"/>
          <w:color w:val="auto"/>
          <w:sz w:val="28"/>
          <w:lang w:val="en-US" w:eastAsia="zh-CN"/>
        </w:rPr>
        <w:t>1</w:t>
      </w:r>
      <w:r>
        <w:rPr>
          <w:rFonts w:hint="default" w:ascii="Times New Roman" w:hAnsi="Times New Roman" w:cs="Times New Roman"/>
          <w:color w:val="auto"/>
          <w:sz w:val="28"/>
          <w:lang w:val="en-US" w:eastAsia="zh-CN"/>
        </w:rPr>
        <w:t>年</w:t>
      </w:r>
      <w:r>
        <w:rPr>
          <w:rFonts w:hint="eastAsia" w:ascii="Times New Roman" w:hAnsi="Times New Roman" w:cs="Times New Roman"/>
          <w:color w:val="auto"/>
          <w:sz w:val="28"/>
          <w:lang w:val="en-US" w:eastAsia="zh-CN"/>
        </w:rPr>
        <w:t>5</w:t>
      </w:r>
      <w:r>
        <w:rPr>
          <w:rFonts w:hint="default" w:ascii="Times New Roman" w:hAnsi="Times New Roman" w:cs="Times New Roman"/>
          <w:color w:val="auto"/>
          <w:sz w:val="28"/>
          <w:lang w:val="en-US" w:eastAsia="zh-CN"/>
        </w:rPr>
        <w:t>月</w:t>
      </w:r>
      <w:r>
        <w:rPr>
          <w:rFonts w:hint="eastAsia" w:ascii="Times New Roman" w:hAnsi="Times New Roman" w:cs="Times New Roman"/>
          <w:color w:val="auto"/>
          <w:sz w:val="28"/>
          <w:lang w:val="en-US" w:eastAsia="zh-CN"/>
        </w:rPr>
        <w:t>25</w:t>
      </w:r>
      <w:r>
        <w:rPr>
          <w:rFonts w:hint="default" w:ascii="Times New Roman" w:hAnsi="Times New Roman" w:cs="Times New Roman"/>
          <w:color w:val="auto"/>
          <w:sz w:val="28"/>
          <w:lang w:val="en-US" w:eastAsia="zh-CN"/>
        </w:rPr>
        <w:t>、</w:t>
      </w:r>
      <w:r>
        <w:rPr>
          <w:rFonts w:hint="eastAsia" w:ascii="Times New Roman" w:hAnsi="Times New Roman" w:cs="Times New Roman"/>
          <w:color w:val="auto"/>
          <w:sz w:val="28"/>
          <w:lang w:val="en-US" w:eastAsia="zh-CN"/>
        </w:rPr>
        <w:t>26</w:t>
      </w:r>
      <w:r>
        <w:rPr>
          <w:rFonts w:hint="default" w:ascii="Times New Roman" w:hAnsi="Times New Roman" w:cs="Times New Roman"/>
          <w:color w:val="auto"/>
          <w:sz w:val="28"/>
          <w:lang w:val="en-US" w:eastAsia="zh-CN"/>
        </w:rPr>
        <w:t>日验收监测期间，</w:t>
      </w:r>
      <w:r>
        <w:rPr>
          <w:rFonts w:hint="eastAsia" w:ascii="Times New Roman" w:hAnsi="Times New Roman" w:cs="Times New Roman"/>
          <w:color w:val="auto"/>
          <w:sz w:val="28"/>
          <w:lang w:val="en-US" w:eastAsia="zh-CN"/>
        </w:rPr>
        <w:t>本</w:t>
      </w:r>
      <w:r>
        <w:rPr>
          <w:rFonts w:hint="default" w:ascii="Times New Roman" w:hAnsi="Times New Roman" w:cs="Times New Roman"/>
          <w:color w:val="auto"/>
          <w:sz w:val="28"/>
          <w:lang w:val="en-US" w:eastAsia="zh-CN"/>
        </w:rPr>
        <w:t>项目厂界噪声检测结果</w:t>
      </w:r>
    </w:p>
    <w:p>
      <w:pPr>
        <w:rPr>
          <w:rFonts w:hint="default"/>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drawing>
          <wp:inline distT="0" distB="0" distL="114300" distR="114300">
            <wp:extent cx="7446010" cy="5584825"/>
            <wp:effectExtent l="0" t="0" r="15875" b="2540"/>
            <wp:docPr id="1" name="图片 1" descr="QQ图片2021080311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0803113424"/>
                    <pic:cNvPicPr>
                      <a:picLocks noChangeAspect="1"/>
                    </pic:cNvPicPr>
                  </pic:nvPicPr>
                  <pic:blipFill>
                    <a:blip r:embed="rId5"/>
                    <a:stretch>
                      <a:fillRect/>
                    </a:stretch>
                  </pic:blipFill>
                  <pic:spPr>
                    <a:xfrm rot="16200000">
                      <a:off x="0" y="0"/>
                      <a:ext cx="7446010" cy="5584825"/>
                    </a:xfrm>
                    <a:prstGeom prst="rect">
                      <a:avLst/>
                    </a:prstGeom>
                  </pic:spPr>
                </pic:pic>
              </a:graphicData>
            </a:graphic>
          </wp:inline>
        </w:drawing>
      </w:r>
      <w:r>
        <w:rPr>
          <w:rFonts w:hint="eastAsia" w:ascii="宋体" w:hAnsi="宋体" w:cs="宋体"/>
          <w:sz w:val="28"/>
          <w:szCs w:val="28"/>
          <w:lang w:val="en-US" w:eastAsia="zh-CN"/>
        </w:rPr>
        <w:t xml:space="preserve">                                  </w:t>
      </w:r>
      <w:bookmarkStart w:id="1" w:name="_GoBack"/>
      <w:r>
        <w:rPr>
          <w:rFonts w:hint="eastAsia" w:ascii="宋体" w:hAnsi="宋体" w:cs="宋体"/>
          <w:sz w:val="28"/>
          <w:szCs w:val="28"/>
          <w:lang w:val="en-US" w:eastAsia="zh-CN"/>
        </w:rPr>
        <w:drawing>
          <wp:inline distT="0" distB="0" distL="114300" distR="114300">
            <wp:extent cx="5326380" cy="7535545"/>
            <wp:effectExtent l="0" t="0" r="7620" b="8255"/>
            <wp:docPr id="2" name="图片 2" descr="QQ图片2021080311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0803114016"/>
                    <pic:cNvPicPr>
                      <a:picLocks noChangeAspect="1"/>
                    </pic:cNvPicPr>
                  </pic:nvPicPr>
                  <pic:blipFill>
                    <a:blip r:embed="rId6"/>
                    <a:stretch>
                      <a:fillRect/>
                    </a:stretch>
                  </pic:blipFill>
                  <pic:spPr>
                    <a:xfrm>
                      <a:off x="0" y="0"/>
                      <a:ext cx="5326380" cy="7535545"/>
                    </a:xfrm>
                    <a:prstGeom prst="rect">
                      <a:avLst/>
                    </a:prstGeom>
                  </pic:spPr>
                </pic:pic>
              </a:graphicData>
            </a:graphic>
          </wp:inline>
        </w:drawing>
      </w:r>
      <w:bookmarkEnd w:id="1"/>
      <w:r>
        <w:rPr>
          <w:rFonts w:hint="eastAsia" w:ascii="宋体" w:hAnsi="宋体" w:cs="宋体"/>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1"/>
          <w:jc w:val="center"/>
        </w:pPr>
        <w:r>
          <w:fldChar w:fldCharType="begin"/>
        </w:r>
        <w:r>
          <w:instrText xml:space="preserve">PAGE   \* MERGEFORMAT</w:instrText>
        </w:r>
        <w:r>
          <w:fldChar w:fldCharType="separate"/>
        </w:r>
        <w:r>
          <w:rPr>
            <w:lang w:val="zh-CN"/>
          </w:rPr>
          <w:t>5</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8BD38BE"/>
    <w:rsid w:val="099E341A"/>
    <w:rsid w:val="0A45083B"/>
    <w:rsid w:val="0B1D385F"/>
    <w:rsid w:val="0C214C43"/>
    <w:rsid w:val="0C843A0D"/>
    <w:rsid w:val="0E0026A7"/>
    <w:rsid w:val="12816B50"/>
    <w:rsid w:val="1436628C"/>
    <w:rsid w:val="14406655"/>
    <w:rsid w:val="15050F58"/>
    <w:rsid w:val="1717320C"/>
    <w:rsid w:val="1962569C"/>
    <w:rsid w:val="19796AAB"/>
    <w:rsid w:val="1A4C2BB9"/>
    <w:rsid w:val="1BB921FC"/>
    <w:rsid w:val="1C094D8D"/>
    <w:rsid w:val="1C164009"/>
    <w:rsid w:val="1C8C2C60"/>
    <w:rsid w:val="1D427D3F"/>
    <w:rsid w:val="1FB11027"/>
    <w:rsid w:val="23AE3F80"/>
    <w:rsid w:val="23CE0DBF"/>
    <w:rsid w:val="24223097"/>
    <w:rsid w:val="25951FFA"/>
    <w:rsid w:val="25CF33B4"/>
    <w:rsid w:val="29C62748"/>
    <w:rsid w:val="2C905377"/>
    <w:rsid w:val="2D9950A7"/>
    <w:rsid w:val="2F2D5E8D"/>
    <w:rsid w:val="2FD33356"/>
    <w:rsid w:val="30C37080"/>
    <w:rsid w:val="3224371F"/>
    <w:rsid w:val="327A1CAB"/>
    <w:rsid w:val="33391A56"/>
    <w:rsid w:val="35FF77B4"/>
    <w:rsid w:val="387F33B9"/>
    <w:rsid w:val="3EE33A28"/>
    <w:rsid w:val="40AF3672"/>
    <w:rsid w:val="41E12D00"/>
    <w:rsid w:val="421C7E9C"/>
    <w:rsid w:val="42382AC2"/>
    <w:rsid w:val="42B14A1B"/>
    <w:rsid w:val="44B52F6E"/>
    <w:rsid w:val="46024FB1"/>
    <w:rsid w:val="484B4FD1"/>
    <w:rsid w:val="48A34D95"/>
    <w:rsid w:val="48E96E8C"/>
    <w:rsid w:val="4A9B5B6E"/>
    <w:rsid w:val="4B534EFD"/>
    <w:rsid w:val="4E397CAC"/>
    <w:rsid w:val="51172C74"/>
    <w:rsid w:val="53684774"/>
    <w:rsid w:val="559F06AA"/>
    <w:rsid w:val="564A5A96"/>
    <w:rsid w:val="59D10CF2"/>
    <w:rsid w:val="5ABD4917"/>
    <w:rsid w:val="5AD2709C"/>
    <w:rsid w:val="5D9755C0"/>
    <w:rsid w:val="5DD06CC8"/>
    <w:rsid w:val="5EA3518A"/>
    <w:rsid w:val="607E273B"/>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a heading"/>
    <w:basedOn w:val="1"/>
    <w:next w:val="1"/>
    <w:qFormat/>
    <w:uiPriority w:val="0"/>
    <w:pPr>
      <w:spacing w:before="120"/>
    </w:pPr>
    <w:rPr>
      <w:rFonts w:ascii="Arial" w:hAnsi="Arial" w:cs="Arial"/>
      <w:sz w:val="24"/>
    </w:rPr>
  </w:style>
  <w:style w:type="paragraph" w:styleId="7">
    <w:name w:val="Body Text"/>
    <w:basedOn w:val="1"/>
    <w:qFormat/>
    <w:uiPriority w:val="0"/>
    <w:pPr>
      <w:spacing w:after="120"/>
    </w:pPr>
  </w:style>
  <w:style w:type="paragraph" w:styleId="8">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9">
    <w:name w:val="Plain Text"/>
    <w:basedOn w:val="1"/>
    <w:qFormat/>
    <w:uiPriority w:val="0"/>
    <w:rPr>
      <w:rFonts w:ascii="宋体" w:hAnsi="Courier New"/>
      <w:sz w:val="24"/>
      <w:szCs w:val="20"/>
    </w:rPr>
  </w:style>
  <w:style w:type="paragraph" w:styleId="10">
    <w:name w:val="Balloon Text"/>
    <w:basedOn w:val="1"/>
    <w:link w:val="21"/>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2"/>
    <w:semiHidden/>
    <w:qFormat/>
    <w:uiPriority w:val="99"/>
    <w:rPr>
      <w:sz w:val="18"/>
      <w:szCs w:val="18"/>
    </w:rPr>
  </w:style>
  <w:style w:type="character" w:customStyle="1" w:styleId="17">
    <w:name w:val="页脚 Char"/>
    <w:basedOn w:val="14"/>
    <w:link w:val="11"/>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10"/>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8</TotalTime>
  <ScaleCrop>false</ScaleCrop>
  <LinksUpToDate>false</LinksUpToDate>
  <CharactersWithSpaces>2335</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WPS_1621302572</cp:lastModifiedBy>
  <dcterms:modified xsi:type="dcterms:W3CDTF">2021-08-03T03:40:49Z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66E89FAC64214972B253C5AD5C255468</vt:lpwstr>
  </property>
</Properties>
</file>