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default" w:ascii="Times New Roman" w:hAnsi="Times New Roman" w:cs="Times New Roman"/>
          <w:b/>
          <w:bCs/>
          <w:color w:val="000000" w:themeColor="text1"/>
          <w:sz w:val="30"/>
          <w:szCs w:val="30"/>
          <w14:textFill>
            <w14:solidFill>
              <w14:schemeClr w14:val="tx1"/>
            </w14:solidFill>
          </w14:textFill>
        </w:rPr>
      </w:pPr>
      <w:r>
        <w:rPr>
          <w:rFonts w:hint="default" w:ascii="Times New Roman" w:hAnsi="Times New Roman" w:cs="Times New Roman"/>
          <w:b/>
          <w:bCs/>
          <w:color w:val="000000" w:themeColor="text1"/>
          <w:sz w:val="30"/>
          <w:szCs w:val="30"/>
          <w14:textFill>
            <w14:solidFill>
              <w14:schemeClr w14:val="tx1"/>
            </w14:solidFill>
          </w14:textFill>
        </w:rPr>
        <w:t>激光器及光学元件配套机械结构零部件</w:t>
      </w:r>
    </w:p>
    <w:p>
      <w:pPr>
        <w:snapToGrid w:val="0"/>
        <w:spacing w:line="360" w:lineRule="auto"/>
        <w:jc w:val="center"/>
        <w:rPr>
          <w:rFonts w:hint="default" w:ascii="Times New Roman" w:hAnsi="Times New Roman" w:cs="Times New Roman"/>
          <w:b/>
          <w:bCs/>
          <w:color w:val="000000" w:themeColor="text1"/>
          <w:sz w:val="30"/>
          <w:szCs w:val="30"/>
          <w14:textFill>
            <w14:solidFill>
              <w14:schemeClr w14:val="tx1"/>
            </w14:solidFill>
          </w14:textFill>
        </w:rPr>
      </w:pPr>
      <w:r>
        <w:rPr>
          <w:rFonts w:hint="default" w:ascii="Times New Roman" w:hAnsi="Times New Roman" w:cs="Times New Roman"/>
          <w:b/>
          <w:bCs/>
          <w:color w:val="000000" w:themeColor="text1"/>
          <w:sz w:val="30"/>
          <w:szCs w:val="30"/>
          <w14:textFill>
            <w14:solidFill>
              <w14:schemeClr w14:val="tx1"/>
            </w14:solidFill>
          </w14:textFill>
        </w:rPr>
        <w:t>加工生产和光学元器件镀膜洁净项目</w:t>
      </w:r>
    </w:p>
    <w:p>
      <w:pPr>
        <w:snapToGrid w:val="0"/>
        <w:spacing w:line="360" w:lineRule="auto"/>
        <w:jc w:val="center"/>
        <w:rPr>
          <w:rFonts w:hint="default" w:ascii="Times New Roman" w:hAnsi="Times New Roman" w:cs="Times New Roman"/>
          <w:b/>
          <w:bCs/>
          <w:color w:val="000000" w:themeColor="text1"/>
          <w:sz w:val="30"/>
          <w:szCs w:val="30"/>
          <w14:textFill>
            <w14:solidFill>
              <w14:schemeClr w14:val="tx1"/>
            </w14:solidFill>
          </w14:textFill>
        </w:rPr>
      </w:pPr>
      <w:r>
        <w:rPr>
          <w:rFonts w:hint="default" w:ascii="Times New Roman" w:hAnsi="Times New Roman" w:cs="Times New Roman"/>
          <w:b/>
          <w:bCs/>
          <w:color w:val="000000" w:themeColor="text1"/>
          <w:sz w:val="30"/>
          <w:szCs w:val="30"/>
          <w14:textFill>
            <w14:solidFill>
              <w14:schemeClr w14:val="tx1"/>
            </w14:solidFill>
          </w14:textFill>
        </w:rPr>
        <w:t>竣工环境保护验收意见</w:t>
      </w:r>
    </w:p>
    <w:p>
      <w:pPr>
        <w:snapToGrid w:val="0"/>
        <w:spacing w:line="360" w:lineRule="auto"/>
        <w:ind w:firstLine="560" w:firstLineChars="200"/>
        <w:jc w:val="left"/>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20</w:t>
      </w:r>
      <w:r>
        <w:rPr>
          <w:rFonts w:hint="default" w:ascii="Times New Roman" w:hAnsi="Times New Roman" w:cs="Times New Roman"/>
          <w:bCs/>
          <w:color w:val="000000" w:themeColor="text1"/>
          <w:sz w:val="28"/>
          <w:szCs w:val="28"/>
          <w:lang w:val="en-US" w:eastAsia="zh-CN"/>
          <w14:textFill>
            <w14:solidFill>
              <w14:schemeClr w14:val="tx1"/>
            </w14:solidFill>
          </w14:textFill>
        </w:rPr>
        <w:t>21</w:t>
      </w:r>
      <w:r>
        <w:rPr>
          <w:rFonts w:hint="default" w:ascii="Times New Roman" w:hAnsi="Times New Roman" w:cs="Times New Roman"/>
          <w:bCs/>
          <w:color w:val="000000" w:themeColor="text1"/>
          <w:sz w:val="28"/>
          <w:szCs w:val="28"/>
          <w14:textFill>
            <w14:solidFill>
              <w14:schemeClr w14:val="tx1"/>
            </w14:solidFill>
          </w14:textFill>
        </w:rPr>
        <w:t>年</w:t>
      </w:r>
      <w:r>
        <w:rPr>
          <w:rFonts w:hint="default" w:ascii="Times New Roman" w:hAnsi="Times New Roman" w:cs="Times New Roman"/>
          <w:bCs/>
          <w:color w:val="000000" w:themeColor="text1"/>
          <w:sz w:val="28"/>
          <w:szCs w:val="28"/>
          <w:lang w:val="en-US" w:eastAsia="zh-CN"/>
          <w14:textFill>
            <w14:solidFill>
              <w14:schemeClr w14:val="tx1"/>
            </w14:solidFill>
          </w14:textFill>
        </w:rPr>
        <w:t>7</w:t>
      </w:r>
      <w:r>
        <w:rPr>
          <w:rFonts w:hint="default" w:ascii="Times New Roman" w:hAnsi="Times New Roman" w:cs="Times New Roman"/>
          <w:bCs/>
          <w:color w:val="000000" w:themeColor="text1"/>
          <w:sz w:val="28"/>
          <w:szCs w:val="28"/>
          <w14:textFill>
            <w14:solidFill>
              <w14:schemeClr w14:val="tx1"/>
            </w14:solidFill>
          </w14:textFill>
        </w:rPr>
        <w:t>月</w:t>
      </w:r>
      <w:r>
        <w:rPr>
          <w:rFonts w:hint="default" w:ascii="Times New Roman" w:hAnsi="Times New Roman" w:cs="Times New Roman"/>
          <w:bCs/>
          <w:color w:val="000000" w:themeColor="text1"/>
          <w:sz w:val="28"/>
          <w:szCs w:val="28"/>
          <w:lang w:val="en-US" w:eastAsia="zh-CN"/>
          <w14:textFill>
            <w14:solidFill>
              <w14:schemeClr w14:val="tx1"/>
            </w14:solidFill>
          </w14:textFill>
        </w:rPr>
        <w:t>31</w:t>
      </w:r>
      <w:r>
        <w:rPr>
          <w:rFonts w:hint="default" w:ascii="Times New Roman" w:hAnsi="Times New Roman" w:cs="Times New Roman"/>
          <w:bCs/>
          <w:color w:val="000000" w:themeColor="text1"/>
          <w:sz w:val="28"/>
          <w:szCs w:val="28"/>
          <w14:textFill>
            <w14:solidFill>
              <w14:schemeClr w14:val="tx1"/>
            </w14:solidFill>
          </w14:textFill>
        </w:rPr>
        <w:t>日，广元国邦科技有限公司在袁家坝川浙园中小企业孵化园B区标准厂房10号厂房主持召开了激光器及光学元件配套机械结构零部件加工生产和光学元器件镀膜洁净项目竣工环境保护验收会。参加会议的有建设单位广元国邦科技有限公司、验收检测报告编制单位四川恒宇环境节能检测有限公司等单位的代表和特邀环保专家，会议成立了验收组（名单附后）。验收组会前进行了现场检查，在会上听取了建设单位对该项目的介绍和环保“三同时”制度情况的汇报，验收检测报告编制单位关于该项目竣工环境保护验收监测的汇报，认真核实了有关资料，详细询问了项目建设过程中环境保护措施</w:t>
      </w:r>
      <w:r>
        <w:rPr>
          <w:rFonts w:hint="default" w:ascii="Times New Roman" w:hAnsi="Times New Roman" w:cs="Times New Roman"/>
          <w:color w:val="000000" w:themeColor="text1"/>
          <w:sz w:val="28"/>
          <w:szCs w:val="28"/>
          <w14:textFill>
            <w14:solidFill>
              <w14:schemeClr w14:val="tx1"/>
            </w14:solidFill>
          </w14:textFill>
        </w:rPr>
        <w:t>落实情况。经认真讨论，形成如下验收意见：</w:t>
      </w:r>
    </w:p>
    <w:p>
      <w:pPr>
        <w:rPr>
          <w:rFonts w:hint="default" w:ascii="Times New Roman" w:hAnsi="Times New Roman" w:cs="Times New Roman"/>
          <w:sz w:val="28"/>
          <w:szCs w:val="28"/>
        </w:rPr>
      </w:pPr>
      <w:r>
        <w:rPr>
          <w:rFonts w:hint="default" w:ascii="Times New Roman" w:hAnsi="Times New Roman" w:cs="Times New Roman"/>
          <w:b/>
          <w:bCs/>
          <w:color w:val="000000" w:themeColor="text1"/>
          <w:sz w:val="28"/>
          <w:szCs w:val="28"/>
          <w14:textFill>
            <w14:solidFill>
              <w14:schemeClr w14:val="tx1"/>
            </w14:solidFill>
          </w14:textFill>
        </w:rPr>
        <w:t>一、工程建设基本情况</w:t>
      </w:r>
    </w:p>
    <w:p>
      <w:pPr>
        <w:ind w:firstLine="560" w:firstLineChars="200"/>
        <w:rPr>
          <w:rFonts w:hint="default" w:ascii="Times New Roman" w:hAnsi="Times New Roman" w:cs="Times New Roman"/>
          <w:color w:val="000000"/>
          <w:sz w:val="28"/>
          <w:szCs w:val="28"/>
          <w:vertAlign w:val="baseline"/>
          <w:lang w:val="en-US" w:eastAsia="zh-CN"/>
        </w:rPr>
      </w:pPr>
      <w:r>
        <w:rPr>
          <w:rFonts w:hint="default" w:ascii="Times New Roman" w:hAnsi="Times New Roman" w:eastAsia="宋体" w:cs="Times New Roman"/>
          <w:color w:val="000000"/>
          <w:sz w:val="28"/>
          <w:szCs w:val="36"/>
          <w:lang w:val="en-US" w:eastAsia="zh-CN"/>
        </w:rPr>
        <w:t>广元国邦科技有限公司成立于2017年11月，主要经营范围为机电设备技术研发、服务，机电设备、五金、塑料制品制造销售等。根据市场需要，广元国邦科技有限公司租用广元市园区建设投资有限公司位于袁家坝工业园区标准厂房（袁家坝川浙园中小企业孵化园B区标准厂房10号厂房），新建“激光器及光学元件配套机械结构零部件加工生产和光学元器件镀膜洁净项目”。项目主要新购机械设备，新建激光器及光学元件配套机械结构零部件生产线。广元经济技术开发区发展改革局对其进行了立项备案（川投资备[2020-510803-39-03-419681]FGQB-0001号），2020年4月，广元国邦科技有限公司委托深圳市福德源环保科技有限公司编写了《激光器及光学元件配套机械结构零部件加工生产和光学元器件镀膜洁净项目环境影响报告表》，并取得广元市生态环境局经开区分局对其下达的批复（广环开函[2020] 6号）。</w:t>
      </w:r>
    </w:p>
    <w:p>
      <w:pPr>
        <w:jc w:val="left"/>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二、工程变动情况</w:t>
      </w:r>
    </w:p>
    <w:tbl>
      <w:tblPr>
        <w:tblStyle w:val="12"/>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935"/>
        <w:gridCol w:w="2706"/>
        <w:gridCol w:w="2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lang w:eastAsia="zh-CN"/>
              </w:rPr>
            </w:pPr>
            <w:r>
              <w:rPr>
                <w:rFonts w:hint="default" w:ascii="Times New Roman" w:hAnsi="Times New Roman" w:cs="Times New Roman"/>
                <w:color w:val="000000"/>
                <w:lang w:eastAsia="zh-CN"/>
              </w:rPr>
              <w:t>序号</w:t>
            </w:r>
          </w:p>
        </w:tc>
        <w:tc>
          <w:tcPr>
            <w:tcW w:w="29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环评及其审批决定要求</w:t>
            </w:r>
          </w:p>
        </w:tc>
        <w:tc>
          <w:tcPr>
            <w:tcW w:w="2706"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实际建设情况</w:t>
            </w:r>
          </w:p>
        </w:tc>
        <w:tc>
          <w:tcPr>
            <w:tcW w:w="2741"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9"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1</w:t>
            </w:r>
          </w:p>
        </w:tc>
        <w:tc>
          <w:tcPr>
            <w:tcW w:w="2935"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color w:val="000000"/>
                <w:sz w:val="24"/>
                <w:szCs w:val="24"/>
              </w:rPr>
            </w:pPr>
            <w:r>
              <w:rPr>
                <w:rFonts w:hint="default" w:ascii="Times New Roman" w:hAnsi="Times New Roman" w:eastAsia="宋体" w:cs="Times New Roman"/>
                <w:color w:val="000000"/>
                <w:kern w:val="0"/>
                <w:sz w:val="24"/>
                <w:szCs w:val="24"/>
                <w:lang w:eastAsia="zh-CN"/>
              </w:rPr>
              <w:t>钢架结构，厂房高</w:t>
            </w:r>
            <w:r>
              <w:rPr>
                <w:rFonts w:hint="default" w:ascii="Times New Roman" w:hAnsi="Times New Roman" w:eastAsia="宋体" w:cs="Times New Roman"/>
                <w:color w:val="000000"/>
                <w:kern w:val="0"/>
                <w:sz w:val="24"/>
                <w:szCs w:val="24"/>
                <w:lang w:val="en-US" w:eastAsia="zh-CN"/>
              </w:rPr>
              <w:t>9m，建筑面积1760m</w:t>
            </w:r>
            <w:r>
              <w:rPr>
                <w:rFonts w:hint="default" w:ascii="Times New Roman" w:hAnsi="Times New Roman" w:eastAsia="宋体" w:cs="Times New Roman"/>
                <w:color w:val="000000"/>
                <w:kern w:val="0"/>
                <w:sz w:val="24"/>
                <w:szCs w:val="24"/>
                <w:vertAlign w:val="superscript"/>
                <w:lang w:val="en-US" w:eastAsia="zh-CN"/>
              </w:rPr>
              <w:t>2</w:t>
            </w:r>
            <w:r>
              <w:rPr>
                <w:rFonts w:hint="default" w:ascii="Times New Roman" w:hAnsi="Times New Roman" w:eastAsia="宋体" w:cs="Times New Roman"/>
                <w:color w:val="000000"/>
                <w:kern w:val="0"/>
                <w:sz w:val="24"/>
                <w:szCs w:val="24"/>
                <w:lang w:val="en-US" w:eastAsia="zh-CN"/>
              </w:rPr>
              <w:t>，内设原料堆放区、机械加工区、除油除锈区、晾干区、包装区、废水处理区、成品库房、车间办公室。通过“车、铣、钳”及焊接、除油除锈工序将金属材料加工成光学元件配套的机械结构零部件。</w:t>
            </w:r>
          </w:p>
        </w:tc>
        <w:tc>
          <w:tcPr>
            <w:tcW w:w="2706" w:type="dxa"/>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cs="Times New Roman"/>
                <w:color w:val="000000"/>
                <w:sz w:val="24"/>
                <w:szCs w:val="24"/>
              </w:rPr>
            </w:pPr>
            <w:r>
              <w:rPr>
                <w:rFonts w:hint="default" w:ascii="Times New Roman" w:hAnsi="Times New Roman" w:eastAsia="宋体" w:cs="Times New Roman"/>
                <w:color w:val="000000"/>
                <w:kern w:val="0"/>
                <w:sz w:val="24"/>
                <w:szCs w:val="24"/>
                <w:lang w:eastAsia="zh-CN"/>
              </w:rPr>
              <w:t>钢架结构，厂房高</w:t>
            </w:r>
            <w:r>
              <w:rPr>
                <w:rFonts w:hint="default" w:ascii="Times New Roman" w:hAnsi="Times New Roman" w:eastAsia="宋体" w:cs="Times New Roman"/>
                <w:color w:val="000000"/>
                <w:kern w:val="0"/>
                <w:sz w:val="24"/>
                <w:szCs w:val="24"/>
                <w:lang w:val="en-US" w:eastAsia="zh-CN"/>
              </w:rPr>
              <w:t>9m，建筑面积1760m</w:t>
            </w:r>
            <w:r>
              <w:rPr>
                <w:rFonts w:hint="default" w:ascii="Times New Roman" w:hAnsi="Times New Roman" w:eastAsia="宋体" w:cs="Times New Roman"/>
                <w:color w:val="000000"/>
                <w:kern w:val="0"/>
                <w:sz w:val="24"/>
                <w:szCs w:val="24"/>
                <w:vertAlign w:val="superscript"/>
                <w:lang w:val="en-US" w:eastAsia="zh-CN"/>
              </w:rPr>
              <w:t>2</w:t>
            </w:r>
            <w:r>
              <w:rPr>
                <w:rFonts w:hint="default" w:ascii="Times New Roman" w:hAnsi="Times New Roman" w:eastAsia="宋体" w:cs="Times New Roman"/>
                <w:color w:val="000000"/>
                <w:kern w:val="0"/>
                <w:sz w:val="24"/>
                <w:szCs w:val="24"/>
                <w:lang w:val="en-US" w:eastAsia="zh-CN"/>
              </w:rPr>
              <w:t>，内设原料堆放区、机械加工区、车间办公室。通过“车、铣、钳”及焊接工序将金属材料加工成光学元件配套的机械结构零部件。</w:t>
            </w:r>
          </w:p>
        </w:tc>
        <w:tc>
          <w:tcPr>
            <w:tcW w:w="2741" w:type="dxa"/>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加工流程中对原材料的除油水洗、酸洗除锈、烘干等加工环节外协处理。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9"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2</w:t>
            </w:r>
          </w:p>
        </w:tc>
        <w:tc>
          <w:tcPr>
            <w:tcW w:w="2935"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color w:val="000000"/>
                <w:sz w:val="24"/>
                <w:szCs w:val="24"/>
              </w:rPr>
            </w:pPr>
            <w:r>
              <w:rPr>
                <w:rFonts w:hint="default" w:ascii="Times New Roman" w:hAnsi="Times New Roman" w:eastAsia="宋体" w:cs="Times New Roman"/>
                <w:color w:val="000000"/>
                <w:kern w:val="0"/>
                <w:sz w:val="24"/>
                <w:szCs w:val="24"/>
                <w:lang w:val="en-US" w:eastAsia="zh-CN"/>
              </w:rPr>
              <w:t>除油后水洗废水，车间清洁废水、洗手废水：设置隔油池一套，隔油处理后进入中和沉淀池处理。酸洗后水洗废水：中和池、絮凝沉淀池各一个，中后沉淀处理。</w:t>
            </w:r>
          </w:p>
        </w:tc>
        <w:tc>
          <w:tcPr>
            <w:tcW w:w="2706" w:type="dxa"/>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cs="Times New Roman"/>
                <w:color w:val="000000"/>
                <w:sz w:val="24"/>
                <w:szCs w:val="24"/>
              </w:rPr>
            </w:pPr>
            <w:r>
              <w:rPr>
                <w:rFonts w:hint="default" w:ascii="Times New Roman" w:hAnsi="Times New Roman" w:eastAsia="宋体" w:cs="Times New Roman"/>
                <w:color w:val="000000"/>
                <w:kern w:val="0"/>
                <w:sz w:val="24"/>
                <w:szCs w:val="24"/>
                <w:lang w:val="en-US" w:eastAsia="zh-CN"/>
              </w:rPr>
              <w:t>车间清洁废水、洗手废水排入园区污水管网，车间不设置隔油池、中和池和絮凝沉淀池。</w:t>
            </w:r>
          </w:p>
        </w:tc>
        <w:tc>
          <w:tcPr>
            <w:tcW w:w="2741" w:type="dxa"/>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由于除油水洗、酸洗除锈、烘干等加工环节依托外协处理，所以不会产生</w:t>
            </w:r>
            <w:r>
              <w:rPr>
                <w:rFonts w:hint="default" w:ascii="Times New Roman" w:hAnsi="Times New Roman" w:eastAsia="宋体" w:cs="Times New Roman"/>
                <w:color w:val="000000"/>
                <w:kern w:val="0"/>
                <w:sz w:val="24"/>
                <w:szCs w:val="24"/>
                <w:lang w:val="en-US" w:eastAsia="zh-CN"/>
              </w:rPr>
              <w:t>除油后水洗废水和酸洗后水洗废水。</w:t>
            </w:r>
          </w:p>
        </w:tc>
      </w:tr>
    </w:tbl>
    <w:p>
      <w:pPr>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三、项目环保设施及措施落实情况</w:t>
      </w:r>
    </w:p>
    <w:p>
      <w:pPr>
        <w:ind w:firstLine="560" w:firstLineChars="20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项目配套的环保设施及措施已基本按环评要求建成和落实。建成的环保设施及采取的环保措施主要有：</w:t>
      </w:r>
    </w:p>
    <w:p>
      <w:pPr>
        <w:rPr>
          <w:rFonts w:hint="default" w:ascii="Times New Roman" w:hAnsi="Times New Roman" w:cs="Times New Roman"/>
          <w:b/>
          <w:bCs/>
          <w:sz w:val="28"/>
          <w:szCs w:val="28"/>
        </w:rPr>
      </w:pPr>
      <w:r>
        <w:rPr>
          <w:rFonts w:hint="default" w:ascii="Times New Roman" w:hAnsi="Times New Roman" w:cs="Times New Roman"/>
          <w:b/>
          <w:bCs/>
          <w:sz w:val="28"/>
          <w:szCs w:val="28"/>
        </w:rPr>
        <w:t>1、废气</w:t>
      </w:r>
    </w:p>
    <w:p>
      <w:pPr>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（1）焊接烟尘</w:t>
      </w:r>
    </w:p>
    <w:p>
      <w:pPr>
        <w:ind w:firstLine="560" w:firstLineChars="200"/>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项目机械结构零部件加工过程中，会对部分零部件进行焊接，焊接工序会产生焊接烟尘。为了减轻焊接烟尘对环境的污染，车间采用移动式焊接烟尘收集装置进行收集处理。</w:t>
      </w:r>
    </w:p>
    <w:p>
      <w:pPr>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（2）金属加工粉尘</w:t>
      </w:r>
    </w:p>
    <w:p>
      <w:pPr>
        <w:ind w:firstLine="560" w:firstLineChars="200"/>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项目使用车床、铣床、钻床、抛光机等设备对零部件加工过程，车、钻、铣、抛光等过程将产生金属粉尘，而建设单位在车、钻、铣等机械加工过程中切削液，基本不产生粉尘，所以金属粉尘主要产生于抛光工序。为防止金属粉尘污染环境，车间配备有自带打磨抛光集尘器进行统一收集处理。</w:t>
      </w:r>
    </w:p>
    <w:p>
      <w:pPr>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（3）酒精挥发废气</w:t>
      </w:r>
    </w:p>
    <w:p>
      <w:pPr>
        <w:ind w:firstLine="560" w:firstLineChars="200"/>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项目在生产过程中，会沾取酒精清洁构件或产品表面，该过程会有乙醇气体挥发，由于实际酒精使用量很小，仅在后端装配时对工件表面进行擦拭时使用少量的酒精，为避免酒精挥发对环境空气的污染，车间平时多通风换气，规范化操作工序，避免酒精遗洒，加强酒精储存、使用管理，不用时密封保存。</w:t>
      </w:r>
    </w:p>
    <w:p>
      <w:pPr>
        <w:numPr>
          <w:ilvl w:val="0"/>
          <w:numId w:val="3"/>
        </w:numPr>
        <w:rPr>
          <w:rFonts w:hint="default" w:ascii="Times New Roman" w:hAnsi="Times New Roman" w:cs="Times New Roman"/>
          <w:b/>
          <w:bCs/>
          <w:sz w:val="28"/>
          <w:szCs w:val="28"/>
        </w:rPr>
      </w:pPr>
      <w:r>
        <w:rPr>
          <w:rFonts w:hint="default" w:ascii="Times New Roman" w:hAnsi="Times New Roman" w:cs="Times New Roman"/>
          <w:b/>
          <w:bCs/>
          <w:sz w:val="28"/>
          <w:szCs w:val="28"/>
        </w:rPr>
        <w:t>废水</w:t>
      </w:r>
    </w:p>
    <w:p>
      <w:pPr>
        <w:numPr>
          <w:ilvl w:val="0"/>
          <w:numId w:val="0"/>
        </w:numPr>
        <w:rPr>
          <w:rFonts w:hint="default" w:ascii="Times New Roman" w:hAnsi="Times New Roman" w:cs="Times New Roman"/>
          <w:color w:val="000000"/>
          <w:sz w:val="28"/>
          <w:szCs w:val="28"/>
          <w:lang w:val="en-US" w:eastAsia="zh-CN"/>
        </w:rPr>
      </w:pPr>
      <w:r>
        <w:rPr>
          <w:rFonts w:hint="default" w:ascii="Times New Roman" w:hAnsi="Times New Roman" w:cs="Times New Roman"/>
          <w:color w:val="000000"/>
          <w:sz w:val="28"/>
          <w:szCs w:val="28"/>
          <w:lang w:val="en-US" w:eastAsia="zh-CN"/>
        </w:rPr>
        <w:t>（1）车间清洁废水</w:t>
      </w:r>
    </w:p>
    <w:p>
      <w:pPr>
        <w:ind w:firstLine="560" w:firstLineChars="200"/>
        <w:jc w:val="left"/>
        <w:rPr>
          <w:rFonts w:hint="default" w:ascii="Times New Roman" w:hAnsi="Times New Roman" w:cs="Times New Roman"/>
          <w:color w:val="000000"/>
          <w:sz w:val="28"/>
          <w:szCs w:val="28"/>
          <w:lang w:val="en-US" w:eastAsia="zh-CN"/>
        </w:rPr>
      </w:pPr>
      <w:r>
        <w:rPr>
          <w:rFonts w:hint="default" w:ascii="Times New Roman" w:hAnsi="Times New Roman" w:cs="Times New Roman"/>
          <w:color w:val="000000"/>
          <w:sz w:val="28"/>
          <w:szCs w:val="28"/>
          <w:lang w:val="en-US" w:eastAsia="zh-CN"/>
        </w:rPr>
        <w:t>为保证产品质量，生产车间需保持干净、整洁、干燥的生产条件，建设单位对车间清洁工作时会产生少量的清洁废水，废水收集后进入园区污水管网，排入广元市第二污水处理厂处理。</w:t>
      </w:r>
    </w:p>
    <w:p>
      <w:pPr>
        <w:jc w:val="left"/>
        <w:rPr>
          <w:rFonts w:hint="default" w:ascii="Times New Roman" w:hAnsi="Times New Roman" w:cs="Times New Roman"/>
          <w:color w:val="000000"/>
          <w:sz w:val="28"/>
          <w:szCs w:val="28"/>
          <w:lang w:val="en-US" w:eastAsia="zh-CN"/>
        </w:rPr>
      </w:pPr>
      <w:r>
        <w:rPr>
          <w:rFonts w:hint="default" w:ascii="Times New Roman" w:hAnsi="Times New Roman" w:cs="Times New Roman"/>
          <w:color w:val="000000"/>
          <w:sz w:val="28"/>
          <w:szCs w:val="28"/>
          <w:lang w:val="en-US" w:eastAsia="zh-CN"/>
        </w:rPr>
        <w:t>（2）生活废水</w:t>
      </w:r>
    </w:p>
    <w:p>
      <w:pPr>
        <w:ind w:firstLine="560" w:firstLineChars="200"/>
        <w:jc w:val="left"/>
        <w:rPr>
          <w:rFonts w:hint="default" w:ascii="Times New Roman" w:hAnsi="Times New Roman" w:cs="Times New Roman"/>
          <w:color w:val="000000"/>
          <w:sz w:val="28"/>
          <w:szCs w:val="28"/>
          <w:lang w:val="en-US" w:eastAsia="zh-CN"/>
        </w:rPr>
      </w:pPr>
      <w:r>
        <w:rPr>
          <w:rFonts w:hint="default" w:ascii="Times New Roman" w:hAnsi="Times New Roman" w:cs="Times New Roman"/>
          <w:color w:val="000000"/>
          <w:sz w:val="28"/>
          <w:szCs w:val="28"/>
          <w:lang w:val="en-US" w:eastAsia="zh-CN"/>
        </w:rPr>
        <w:t>员工在车间生活工作期间，会有一定的生活废水产生，废水进入标准厂房已有的化粪池进行收集处理后，进入园区污水管网，排入广元市第二污水处理厂处理。</w:t>
      </w:r>
    </w:p>
    <w:p>
      <w:pPr>
        <w:jc w:val="left"/>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3、噪声 </w:t>
      </w:r>
    </w:p>
    <w:p>
      <w:pPr>
        <w:rPr>
          <w:rFonts w:hint="default" w:ascii="Times New Roman" w:hAnsi="Times New Roman" w:cs="Times New Roman"/>
          <w:b w:val="0"/>
          <w:bCs/>
          <w:smallCaps/>
          <w:color w:val="000000"/>
          <w:sz w:val="28"/>
          <w:szCs w:val="28"/>
          <w:lang w:eastAsia="zh-CN"/>
        </w:rPr>
      </w:pPr>
      <w:r>
        <w:rPr>
          <w:rFonts w:hint="default" w:ascii="Times New Roman" w:hAnsi="Times New Roman" w:cs="Times New Roman"/>
          <w:b w:val="0"/>
          <w:bCs/>
          <w:smallCaps/>
          <w:color w:val="000000"/>
          <w:sz w:val="28"/>
          <w:szCs w:val="28"/>
          <w:lang w:eastAsia="zh-CN"/>
        </w:rPr>
        <w:t>（1）设备运行噪声</w:t>
      </w:r>
    </w:p>
    <w:p>
      <w:pPr>
        <w:ind w:firstLine="560" w:firstLineChars="200"/>
        <w:rPr>
          <w:rFonts w:hint="default" w:ascii="Times New Roman" w:hAnsi="Times New Roman" w:cs="Times New Roman"/>
          <w:b w:val="0"/>
          <w:bCs/>
          <w:smallCaps/>
          <w:color w:val="000000"/>
          <w:sz w:val="28"/>
          <w:szCs w:val="28"/>
          <w:lang w:eastAsia="zh-CN"/>
        </w:rPr>
      </w:pPr>
      <w:r>
        <w:rPr>
          <w:rFonts w:hint="default" w:ascii="Times New Roman" w:hAnsi="Times New Roman" w:cs="Times New Roman"/>
          <w:b w:val="0"/>
          <w:bCs/>
          <w:smallCaps/>
          <w:color w:val="000000"/>
          <w:sz w:val="28"/>
          <w:szCs w:val="28"/>
          <w:lang w:eastAsia="zh-CN"/>
        </w:rPr>
        <w:t>项目的噪声源主要来自加工机械设备的运行，为了控制噪声污染，项目全部生产设备皆设置在封闭厂房内，选用低噪音设备，车间内按照生产工艺合理布置噪声源，高噪声设备安装隔音防护罩；平时加强对设备的维护，确保设备处于良好的运转状态，避免设备不正常运转产生高噪声。</w:t>
      </w:r>
    </w:p>
    <w:p>
      <w:pPr>
        <w:rPr>
          <w:rFonts w:hint="default" w:ascii="Times New Roman" w:hAnsi="Times New Roman" w:cs="Times New Roman"/>
          <w:b w:val="0"/>
          <w:bCs/>
          <w:smallCaps/>
          <w:color w:val="000000"/>
          <w:sz w:val="28"/>
          <w:szCs w:val="28"/>
          <w:lang w:eastAsia="zh-CN"/>
        </w:rPr>
      </w:pPr>
      <w:r>
        <w:rPr>
          <w:rFonts w:hint="default" w:ascii="Times New Roman" w:hAnsi="Times New Roman" w:cs="Times New Roman"/>
          <w:b w:val="0"/>
          <w:bCs/>
          <w:smallCaps/>
          <w:color w:val="000000"/>
          <w:sz w:val="28"/>
          <w:szCs w:val="28"/>
          <w:lang w:eastAsia="zh-CN"/>
        </w:rPr>
        <w:t>（2）人工操作噪声</w:t>
      </w:r>
    </w:p>
    <w:p>
      <w:pPr>
        <w:ind w:firstLine="560" w:firstLineChars="200"/>
        <w:rPr>
          <w:rFonts w:hint="default" w:ascii="Times New Roman" w:hAnsi="Times New Roman" w:cs="Times New Roman"/>
          <w:b w:val="0"/>
          <w:bCs/>
          <w:smallCaps/>
          <w:color w:val="000000"/>
          <w:sz w:val="28"/>
          <w:szCs w:val="28"/>
          <w:lang w:eastAsia="zh-CN"/>
        </w:rPr>
      </w:pPr>
      <w:r>
        <w:rPr>
          <w:rFonts w:hint="default" w:ascii="Times New Roman" w:hAnsi="Times New Roman" w:cs="Times New Roman"/>
          <w:b w:val="0"/>
          <w:bCs/>
          <w:smallCaps/>
          <w:color w:val="000000"/>
          <w:sz w:val="28"/>
          <w:szCs w:val="28"/>
          <w:lang w:eastAsia="zh-CN"/>
        </w:rPr>
        <w:t>人工操作时使用工具敲击原材料，会产生间歇型的噪声，为了控制噪声污染，平时加强人工管理，规范员工操作，合理安排生产时间。</w:t>
      </w:r>
    </w:p>
    <w:p>
      <w:pPr>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4、固废</w:t>
      </w:r>
    </w:p>
    <w:p>
      <w:pPr>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（1）生活固废</w:t>
      </w:r>
    </w:p>
    <w:p>
      <w:pPr>
        <w:ind w:firstLine="560" w:firstLineChars="200"/>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生活垃圾处理设施直接依托标准厂房设置的垃圾收集点，经统一收集后，交由当地环卫部门统一处理。</w:t>
      </w:r>
    </w:p>
    <w:p>
      <w:pPr>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（2）生产固废</w:t>
      </w:r>
    </w:p>
    <w:p>
      <w:pPr>
        <w:ind w:firstLine="560" w:firstLineChars="200"/>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生产及包装过程中产生的废弃包装材料，能利用的收集后交由废品回收站，不能利用的由当地环卫部门统一处理；焊接过程产生的废焊线和焊渣，收集后委托相关物资回收单位回收处理；在车、铣、钻等机加工过程产生废金属屑、边角料等，外售至废品回收站，进行综合利用。</w:t>
      </w:r>
    </w:p>
    <w:p>
      <w:pPr>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（3）危险废物</w:t>
      </w:r>
    </w:p>
    <w:p>
      <w:pPr>
        <w:ind w:firstLine="560" w:firstLineChars="200"/>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项目在机械加工和设备维护维修过程中产生的废切削液、废含油手套（抹布）、酒精擦拭抹布、废酒精瓶和废机油经收集至危废暂存间，定期交由有资质的危废企业处置。</w:t>
      </w:r>
    </w:p>
    <w:p>
      <w:pPr>
        <w:rPr>
          <w:rFonts w:hint="default" w:ascii="Times New Roman" w:hAnsi="Times New Roman" w:cs="Times New Roman"/>
          <w:sz w:val="28"/>
          <w:szCs w:val="28"/>
        </w:rPr>
      </w:pPr>
      <w:r>
        <w:rPr>
          <w:rFonts w:hint="default" w:ascii="Times New Roman" w:hAnsi="Times New Roman" w:cs="Times New Roman"/>
          <w:b/>
          <w:bCs/>
          <w:color w:val="000000" w:themeColor="text1"/>
          <w:sz w:val="28"/>
          <w:szCs w:val="28"/>
          <w14:textFill>
            <w14:solidFill>
              <w14:schemeClr w14:val="tx1"/>
            </w14:solidFill>
          </w14:textFill>
        </w:rPr>
        <w:t>四、验收监测结果</w:t>
      </w:r>
    </w:p>
    <w:p>
      <w:pPr>
        <w:spacing w:line="360" w:lineRule="auto"/>
        <w:rPr>
          <w:rFonts w:hint="default" w:ascii="Times New Roman" w:hAnsi="Times New Roman" w:cs="Times New Roman"/>
          <w:sz w:val="28"/>
        </w:rPr>
      </w:pPr>
      <w:r>
        <w:rPr>
          <w:rFonts w:hint="default" w:ascii="Times New Roman" w:hAnsi="Times New Roman" w:cs="Times New Roman"/>
          <w:sz w:val="28"/>
          <w:lang w:val="en-US" w:eastAsia="zh-CN"/>
        </w:rPr>
        <w:t>1</w:t>
      </w:r>
      <w:r>
        <w:rPr>
          <w:rFonts w:hint="default" w:ascii="Times New Roman" w:hAnsi="Times New Roman" w:cs="Times New Roman"/>
          <w:sz w:val="28"/>
        </w:rPr>
        <w:t>、</w:t>
      </w:r>
      <w:r>
        <w:rPr>
          <w:rFonts w:hint="default" w:ascii="Times New Roman" w:hAnsi="Times New Roman" w:cs="Times New Roman"/>
          <w:sz w:val="28"/>
          <w:szCs w:val="28"/>
        </w:rPr>
        <w:t>噪声监测结果</w:t>
      </w:r>
    </w:p>
    <w:p>
      <w:pPr>
        <w:ind w:firstLine="560" w:firstLineChars="200"/>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按照《工业企业厂界环境噪声排放标准》（GB 12348-2008）表1中3类标准进行评价，本项目竣工环境保护验收检测期间（2021年7月5-6日），4个厂界噪声点昼间等效A声级检测结果均达标。</w:t>
      </w:r>
    </w:p>
    <w:p>
      <w:pPr>
        <w:numPr>
          <w:ilvl w:val="0"/>
          <w:numId w:val="0"/>
        </w:numPr>
        <w:spacing w:line="360" w:lineRule="auto"/>
        <w:ind w:leftChars="0"/>
        <w:rPr>
          <w:rFonts w:hint="default" w:ascii="Times New Roman" w:hAnsi="Times New Roman" w:cs="Times New Roman"/>
          <w:sz w:val="28"/>
          <w:szCs w:val="28"/>
        </w:rPr>
      </w:pPr>
      <w:r>
        <w:rPr>
          <w:rFonts w:hint="default" w:ascii="Times New Roman" w:hAnsi="Times New Roman" w:cs="Times New Roman"/>
          <w:sz w:val="28"/>
          <w:szCs w:val="28"/>
          <w:lang w:val="en-US" w:eastAsia="zh-CN"/>
        </w:rPr>
        <w:t>2、</w:t>
      </w:r>
      <w:r>
        <w:rPr>
          <w:rFonts w:hint="default" w:ascii="Times New Roman" w:hAnsi="Times New Roman" w:cs="Times New Roman"/>
          <w:sz w:val="28"/>
          <w:szCs w:val="28"/>
          <w:lang w:eastAsia="zh-CN"/>
        </w:rPr>
        <w:t>废气</w:t>
      </w:r>
      <w:r>
        <w:rPr>
          <w:rFonts w:hint="default" w:ascii="Times New Roman" w:hAnsi="Times New Roman" w:cs="Times New Roman"/>
          <w:sz w:val="28"/>
          <w:szCs w:val="28"/>
        </w:rPr>
        <w:t>监测结果</w:t>
      </w:r>
    </w:p>
    <w:p>
      <w:pPr>
        <w:ind w:firstLine="560" w:firstLineChars="200"/>
        <w:rPr>
          <w:rFonts w:hint="default" w:ascii="Times New Roman" w:hAnsi="Times New Roman" w:eastAsia="宋体" w:cs="Times New Roman"/>
          <w:b w:val="0"/>
          <w:bCs w:val="0"/>
          <w:color w:val="000000" w:themeColor="text1"/>
          <w:sz w:val="28"/>
          <w:szCs w:val="28"/>
          <w14:textFill>
            <w14:solidFill>
              <w14:schemeClr w14:val="tx1"/>
            </w14:solidFill>
          </w14:textFill>
        </w:rPr>
      </w:pPr>
      <w:r>
        <w:rPr>
          <w:rFonts w:hint="default" w:ascii="Times New Roman" w:hAnsi="Times New Roman" w:eastAsia="宋体" w:cs="Times New Roman"/>
          <w:b w:val="0"/>
          <w:bCs w:val="0"/>
          <w:color w:val="000000" w:themeColor="text1"/>
          <w:sz w:val="28"/>
          <w:szCs w:val="28"/>
          <w14:textFill>
            <w14:solidFill>
              <w14:schemeClr w14:val="tx1"/>
            </w14:solidFill>
          </w14:textFill>
        </w:rPr>
        <w:t>按照《大气污染物综合排放标准》（GB 16297-1996）表2标准进行评价，本项目竣工环境保护验收检测期间（2021年7月5-6日），无组织废气颗粒物检测结果均达标。</w:t>
      </w:r>
    </w:p>
    <w:p>
      <w:pPr>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五、环境保护管理检查结果</w:t>
      </w:r>
    </w:p>
    <w:p>
      <w:pPr>
        <w:ind w:firstLine="568" w:firstLineChars="203"/>
        <w:rPr>
          <w:rFonts w:hint="default" w:ascii="Times New Roman" w:hAnsi="Times New Roman" w:cs="Times New Roman"/>
          <w:sz w:val="28"/>
          <w:szCs w:val="28"/>
        </w:rPr>
      </w:pPr>
      <w:r>
        <w:rPr>
          <w:rFonts w:hint="default" w:ascii="Times New Roman" w:hAnsi="Times New Roman" w:eastAsia="宋体" w:cs="Times New Roman"/>
          <w:color w:val="000000"/>
          <w:sz w:val="28"/>
          <w:szCs w:val="28"/>
          <w:lang w:val="en-US" w:eastAsia="zh-CN"/>
        </w:rPr>
        <w:t>本</w:t>
      </w:r>
      <w:r>
        <w:rPr>
          <w:rFonts w:hint="default" w:ascii="Times New Roman" w:hAnsi="Times New Roman" w:eastAsia="宋体" w:cs="Times New Roman"/>
          <w:color w:val="000000"/>
          <w:sz w:val="28"/>
          <w:szCs w:val="28"/>
        </w:rPr>
        <w:t>项目</w:t>
      </w:r>
      <w:r>
        <w:rPr>
          <w:rFonts w:hint="default" w:ascii="Times New Roman" w:hAnsi="Times New Roman" w:eastAsia="宋体" w:cs="Times New Roman"/>
          <w:color w:val="000000"/>
          <w:sz w:val="28"/>
          <w:szCs w:val="28"/>
          <w:lang w:eastAsia="zh-CN"/>
        </w:rPr>
        <w:t>已基本建立</w:t>
      </w:r>
      <w:r>
        <w:rPr>
          <w:rFonts w:hint="default" w:ascii="Times New Roman" w:hAnsi="Times New Roman" w:eastAsia="宋体" w:cs="Times New Roman"/>
          <w:color w:val="000000"/>
          <w:sz w:val="28"/>
          <w:szCs w:val="28"/>
        </w:rPr>
        <w:t>环境保护档案</w:t>
      </w:r>
      <w:r>
        <w:rPr>
          <w:rFonts w:hint="default" w:ascii="Times New Roman" w:hAnsi="Times New Roman" w:cs="Times New Roman"/>
          <w:color w:val="000000"/>
          <w:sz w:val="28"/>
          <w:szCs w:val="28"/>
          <w:lang w:eastAsia="zh-CN"/>
        </w:rPr>
        <w:t>、</w:t>
      </w:r>
      <w:r>
        <w:rPr>
          <w:rFonts w:hint="default" w:ascii="Times New Roman" w:hAnsi="Times New Roman" w:cs="Times New Roman"/>
          <w:color w:val="000000"/>
          <w:sz w:val="28"/>
          <w:szCs w:val="28"/>
        </w:rPr>
        <w:t>环保设施运行维护记录</w:t>
      </w:r>
      <w:r>
        <w:rPr>
          <w:rFonts w:hint="default" w:ascii="Times New Roman" w:hAnsi="Times New Roman" w:cs="Times New Roman"/>
          <w:color w:val="000000"/>
          <w:sz w:val="28"/>
          <w:szCs w:val="28"/>
          <w:lang w:eastAsia="zh-CN"/>
        </w:rPr>
        <w:t>和</w:t>
      </w:r>
      <w:r>
        <w:rPr>
          <w:rFonts w:hint="default" w:ascii="Times New Roman" w:hAnsi="Times New Roman" w:eastAsia="宋体" w:cs="Times New Roman"/>
          <w:color w:val="000000"/>
          <w:sz w:val="28"/>
          <w:szCs w:val="28"/>
        </w:rPr>
        <w:t>环境保护管理制度</w:t>
      </w:r>
      <w:r>
        <w:rPr>
          <w:rFonts w:hint="default" w:ascii="Times New Roman" w:hAnsi="Times New Roman" w:cs="Times New Roman"/>
          <w:color w:val="000000"/>
          <w:sz w:val="28"/>
          <w:szCs w:val="28"/>
        </w:rPr>
        <w:t>。</w:t>
      </w:r>
    </w:p>
    <w:p>
      <w:pPr>
        <w:rPr>
          <w:rFonts w:hint="default" w:ascii="Times New Roman" w:hAnsi="Times New Roman" w:cs="Times New Roman"/>
          <w:b/>
          <w:bCs/>
          <w:color w:val="000000" w:themeColor="text1"/>
          <w:sz w:val="28"/>
          <w:szCs w:val="28"/>
          <w14:textFill>
            <w14:solidFill>
              <w14:schemeClr w14:val="tx1"/>
            </w14:solidFill>
          </w14:textFill>
        </w:rPr>
      </w:pPr>
    </w:p>
    <w:p>
      <w:pPr>
        <w:ind w:firstLine="560" w:firstLineChars="200"/>
        <w:jc w:val="center"/>
        <w:rPr>
          <w:rFonts w:hint="eastAsia" w:ascii="Times New Roman" w:hAnsi="Times New Roman" w:eastAsia="宋体" w:cs="Times New Roman"/>
          <w:sz w:val="28"/>
          <w:szCs w:val="28"/>
          <w:lang w:eastAsia="zh-CN"/>
        </w:rPr>
      </w:pPr>
      <w:bookmarkStart w:id="0" w:name="_GoBack"/>
      <w:bookmarkEnd w:id="0"/>
      <w:r>
        <w:rPr>
          <w:rFonts w:hint="eastAsia" w:ascii="Times New Roman" w:hAnsi="Times New Roman" w:eastAsia="宋体" w:cs="Times New Roman"/>
          <w:sz w:val="28"/>
          <w:szCs w:val="28"/>
          <w:lang w:eastAsia="zh-CN"/>
        </w:rPr>
        <w:drawing>
          <wp:inline distT="0" distB="0" distL="114300" distR="114300">
            <wp:extent cx="4384675" cy="7201535"/>
            <wp:effectExtent l="0" t="0" r="15875" b="18415"/>
            <wp:docPr id="1" name="图片 1" descr="签字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字图片"/>
                    <pic:cNvPicPr>
                      <a:picLocks noChangeAspect="1"/>
                    </pic:cNvPicPr>
                  </pic:nvPicPr>
                  <pic:blipFill>
                    <a:blip r:embed="rId5"/>
                    <a:srcRect l="6988" t="13071" r="4984" b="38439"/>
                    <a:stretch>
                      <a:fillRect/>
                    </a:stretch>
                  </pic:blipFill>
                  <pic:spPr>
                    <a:xfrm>
                      <a:off x="0" y="0"/>
                      <a:ext cx="4384675" cy="7201535"/>
                    </a:xfrm>
                    <a:prstGeom prst="rect">
                      <a:avLst/>
                    </a:prstGeom>
                  </pic:spPr>
                </pic:pic>
              </a:graphicData>
            </a:graphic>
          </wp:inline>
        </w:draw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0701339"/>
    </w:sdtPr>
    <w:sdtContent>
      <w:p>
        <w:pPr>
          <w:pStyle w:val="11"/>
          <w:jc w:val="center"/>
        </w:pPr>
        <w:r>
          <w:fldChar w:fldCharType="begin"/>
        </w:r>
        <w:r>
          <w:instrText xml:space="preserve">PAGE   \* MERGEFORMAT</w:instrText>
        </w:r>
        <w:r>
          <w:fldChar w:fldCharType="separate"/>
        </w:r>
        <w:r>
          <w:rPr>
            <w:lang w:val="zh-CN"/>
          </w:rPr>
          <w:t>6</w:t>
        </w:r>
        <w: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decimal"/>
      <w:lvlText w:val="%1."/>
      <w:legacy w:legacy="1" w:legacySpace="144" w:legacyIndent="0"/>
      <w:lvlJc w:val="left"/>
    </w:lvl>
    <w:lvl w:ilvl="1" w:tentative="0">
      <w:start w:val="1"/>
      <w:numFmt w:val="decimal"/>
      <w:pStyle w:val="4"/>
      <w:lvlText w:val="%1.%2"/>
      <w:legacy w:legacy="1" w:legacySpace="144" w:legacyIndent="0"/>
      <w:lvlJc w:val="left"/>
    </w:lvl>
    <w:lvl w:ilvl="2" w:tentative="0">
      <w:start w:val="1"/>
      <w:numFmt w:val="decimal"/>
      <w:lvlText w:val="%1.%2.%3"/>
      <w:legacy w:legacy="1" w:legacySpace="144" w:legacyIndent="0"/>
      <w:lvlJc w:val="left"/>
    </w:lvl>
    <w:lvl w:ilvl="3" w:tentative="0">
      <w:start w:val="1"/>
      <w:numFmt w:val="decimal"/>
      <w:lvlText w:val="%1.%2.%3.%4"/>
      <w:legacy w:legacy="1" w:legacySpace="144" w:legacyIndent="0"/>
      <w:lvlJc w:val="left"/>
    </w:lvl>
    <w:lvl w:ilvl="4" w:tentative="0">
      <w:start w:val="1"/>
      <w:numFmt w:val="decimal"/>
      <w:lvlText w:val="%1.%2.%3.%4.%5"/>
      <w:legacy w:legacy="1" w:legacySpace="144" w:legacyIndent="0"/>
      <w:lvlJc w:val="left"/>
    </w:lvl>
    <w:lvl w:ilvl="5" w:tentative="0">
      <w:start w:val="1"/>
      <w:numFmt w:val="decimal"/>
      <w:lvlText w:val="%1.%2.%3.%4.%5.%6"/>
      <w:legacy w:legacy="1" w:legacySpace="144" w:legacyIndent="0"/>
      <w:lvlJc w:val="left"/>
    </w:lvl>
    <w:lvl w:ilvl="6" w:tentative="0">
      <w:start w:val="1"/>
      <w:numFmt w:val="decimal"/>
      <w:lvlText w:val="%1.%2.%3.%4.%5.%6.%7"/>
      <w:legacy w:legacy="1" w:legacySpace="144" w:legacyIndent="0"/>
      <w:lvlJc w:val="left"/>
    </w:lvl>
    <w:lvl w:ilvl="7" w:tentative="0">
      <w:start w:val="1"/>
      <w:numFmt w:val="decimal"/>
      <w:lvlText w:val="%1.%2.%3.%4.%5.%6.%7.%8"/>
      <w:legacy w:legacy="1" w:legacySpace="144" w:legacyIndent="0"/>
      <w:lvlJc w:val="left"/>
    </w:lvl>
    <w:lvl w:ilvl="8" w:tentative="0">
      <w:start w:val="1"/>
      <w:numFmt w:val="decimal"/>
      <w:lvlText w:val="%1.%2.%3.%4.%5.%6.%7.%8.%9"/>
      <w:legacy w:legacy="1" w:legacySpace="144" w:legacyIndent="0"/>
      <w:lvlJc w:val="left"/>
    </w:lvl>
  </w:abstractNum>
  <w:abstractNum w:abstractNumId="1">
    <w:nsid w:val="0000000C"/>
    <w:multiLevelType w:val="multilevel"/>
    <w:tmpl w:val="0000000C"/>
    <w:lvl w:ilvl="0" w:tentative="0">
      <w:start w:val="1"/>
      <w:numFmt w:val="decimal"/>
      <w:pStyle w:val="3"/>
      <w:lvlText w:val="%1"/>
      <w:lvlJc w:val="left"/>
      <w:pPr>
        <w:tabs>
          <w:tab w:val="left" w:pos="-992"/>
        </w:tabs>
        <w:ind w:left="-992" w:firstLine="0"/>
      </w:pPr>
      <w:rPr>
        <w:rFonts w:hint="eastAsia"/>
        <w:sz w:val="28"/>
      </w:rPr>
    </w:lvl>
    <w:lvl w:ilvl="1" w:tentative="0">
      <w:start w:val="1"/>
      <w:numFmt w:val="decimal"/>
      <w:lvlText w:val="%1.%2"/>
      <w:lvlJc w:val="left"/>
      <w:pPr>
        <w:tabs>
          <w:tab w:val="left" w:pos="0"/>
        </w:tabs>
        <w:ind w:left="0" w:firstLine="0"/>
      </w:pPr>
      <w:rPr>
        <w:rFonts w:hint="eastAsia"/>
      </w:rPr>
    </w:lvl>
    <w:lvl w:ilvl="2" w:tentative="0">
      <w:start w:val="1"/>
      <w:numFmt w:val="decimal"/>
      <w:lvlText w:val="%1.%2.%3"/>
      <w:lvlJc w:val="left"/>
      <w:pPr>
        <w:tabs>
          <w:tab w:val="left" w:pos="720"/>
        </w:tabs>
        <w:ind w:left="-864" w:firstLine="864"/>
      </w:pPr>
      <w:rPr>
        <w:rFonts w:hint="eastAsia"/>
        <w:b/>
        <w:i w:val="0"/>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71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926"/>
        </w:tabs>
        <w:ind w:left="3402" w:hanging="1276"/>
      </w:pPr>
      <w:rPr>
        <w:rFonts w:hint="eastAsia"/>
      </w:rPr>
    </w:lvl>
    <w:lvl w:ilvl="7" w:tentative="0">
      <w:start w:val="1"/>
      <w:numFmt w:val="decimal"/>
      <w:lvlText w:val="%1.%2.%3.%4.%5.%6.%7.%8"/>
      <w:lvlJc w:val="left"/>
      <w:pPr>
        <w:tabs>
          <w:tab w:val="left" w:pos="4711"/>
        </w:tabs>
        <w:ind w:left="3969" w:hanging="1418"/>
      </w:pPr>
      <w:rPr>
        <w:rFonts w:hint="eastAsia"/>
      </w:rPr>
    </w:lvl>
    <w:lvl w:ilvl="8" w:tentative="0">
      <w:start w:val="1"/>
      <w:numFmt w:val="decimal"/>
      <w:lvlText w:val="%1.%2.%3.%4.%5.%6.%7.%8.%9"/>
      <w:lvlJc w:val="left"/>
      <w:pPr>
        <w:tabs>
          <w:tab w:val="left" w:pos="5137"/>
        </w:tabs>
        <w:ind w:left="4677" w:hanging="1700"/>
      </w:pPr>
      <w:rPr>
        <w:rFonts w:hint="eastAsia"/>
      </w:rPr>
    </w:lvl>
  </w:abstractNum>
  <w:abstractNum w:abstractNumId="2">
    <w:nsid w:val="535C322B"/>
    <w:multiLevelType w:val="singleLevel"/>
    <w:tmpl w:val="535C322B"/>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904"/>
    <w:rsid w:val="00013E7D"/>
    <w:rsid w:val="000251C9"/>
    <w:rsid w:val="00035ED5"/>
    <w:rsid w:val="0004401F"/>
    <w:rsid w:val="00050DC8"/>
    <w:rsid w:val="00055BC0"/>
    <w:rsid w:val="00067FCF"/>
    <w:rsid w:val="00075540"/>
    <w:rsid w:val="00082FA8"/>
    <w:rsid w:val="000A2578"/>
    <w:rsid w:val="000B79E5"/>
    <w:rsid w:val="000C3A99"/>
    <w:rsid w:val="000D2A15"/>
    <w:rsid w:val="000F4B4C"/>
    <w:rsid w:val="00101F03"/>
    <w:rsid w:val="00116B37"/>
    <w:rsid w:val="00134C5A"/>
    <w:rsid w:val="00143885"/>
    <w:rsid w:val="001474F8"/>
    <w:rsid w:val="00162AF7"/>
    <w:rsid w:val="001A6BF5"/>
    <w:rsid w:val="001B17C2"/>
    <w:rsid w:val="001B7EE7"/>
    <w:rsid w:val="001C6F78"/>
    <w:rsid w:val="001E0681"/>
    <w:rsid w:val="001E15AC"/>
    <w:rsid w:val="001E5041"/>
    <w:rsid w:val="001F635F"/>
    <w:rsid w:val="002042DE"/>
    <w:rsid w:val="00205014"/>
    <w:rsid w:val="00245032"/>
    <w:rsid w:val="0024781F"/>
    <w:rsid w:val="002605B8"/>
    <w:rsid w:val="00265F6C"/>
    <w:rsid w:val="002803F6"/>
    <w:rsid w:val="002A2569"/>
    <w:rsid w:val="002B232A"/>
    <w:rsid w:val="002B27FA"/>
    <w:rsid w:val="002C4C25"/>
    <w:rsid w:val="002C7B1F"/>
    <w:rsid w:val="002D46E5"/>
    <w:rsid w:val="002E2838"/>
    <w:rsid w:val="002F0276"/>
    <w:rsid w:val="002F7B55"/>
    <w:rsid w:val="00306CF2"/>
    <w:rsid w:val="00310F43"/>
    <w:rsid w:val="00315A63"/>
    <w:rsid w:val="0032005D"/>
    <w:rsid w:val="00331194"/>
    <w:rsid w:val="00332147"/>
    <w:rsid w:val="0033282A"/>
    <w:rsid w:val="00340E20"/>
    <w:rsid w:val="00352463"/>
    <w:rsid w:val="00354DD3"/>
    <w:rsid w:val="003617F1"/>
    <w:rsid w:val="003653F4"/>
    <w:rsid w:val="003741D0"/>
    <w:rsid w:val="00390580"/>
    <w:rsid w:val="003A43F6"/>
    <w:rsid w:val="003C5A70"/>
    <w:rsid w:val="0040126C"/>
    <w:rsid w:val="00404D2F"/>
    <w:rsid w:val="004262F8"/>
    <w:rsid w:val="00427059"/>
    <w:rsid w:val="00435F28"/>
    <w:rsid w:val="00436E82"/>
    <w:rsid w:val="00466407"/>
    <w:rsid w:val="004671E2"/>
    <w:rsid w:val="0047731F"/>
    <w:rsid w:val="00480B8C"/>
    <w:rsid w:val="004B2870"/>
    <w:rsid w:val="004C5B3A"/>
    <w:rsid w:val="004E0FFE"/>
    <w:rsid w:val="004F29B5"/>
    <w:rsid w:val="004F52C1"/>
    <w:rsid w:val="0050496B"/>
    <w:rsid w:val="00506984"/>
    <w:rsid w:val="0052091E"/>
    <w:rsid w:val="0052611A"/>
    <w:rsid w:val="005400A2"/>
    <w:rsid w:val="0054337B"/>
    <w:rsid w:val="00555413"/>
    <w:rsid w:val="005564F1"/>
    <w:rsid w:val="00563749"/>
    <w:rsid w:val="00565E4D"/>
    <w:rsid w:val="0056798E"/>
    <w:rsid w:val="005A2085"/>
    <w:rsid w:val="005C1E88"/>
    <w:rsid w:val="005C6A26"/>
    <w:rsid w:val="005E20CF"/>
    <w:rsid w:val="005F40BB"/>
    <w:rsid w:val="005F4233"/>
    <w:rsid w:val="005F4890"/>
    <w:rsid w:val="00602F88"/>
    <w:rsid w:val="0060711C"/>
    <w:rsid w:val="00623528"/>
    <w:rsid w:val="006363F7"/>
    <w:rsid w:val="0064522F"/>
    <w:rsid w:val="0065296F"/>
    <w:rsid w:val="00655F68"/>
    <w:rsid w:val="00662E86"/>
    <w:rsid w:val="00670481"/>
    <w:rsid w:val="00695D95"/>
    <w:rsid w:val="006D530F"/>
    <w:rsid w:val="006D74F7"/>
    <w:rsid w:val="006E4584"/>
    <w:rsid w:val="006E574B"/>
    <w:rsid w:val="0071651E"/>
    <w:rsid w:val="0072004D"/>
    <w:rsid w:val="0073510D"/>
    <w:rsid w:val="00741DD4"/>
    <w:rsid w:val="0076744A"/>
    <w:rsid w:val="00780AA5"/>
    <w:rsid w:val="007917F3"/>
    <w:rsid w:val="007B359D"/>
    <w:rsid w:val="007C24E1"/>
    <w:rsid w:val="007D73EC"/>
    <w:rsid w:val="007E2E1A"/>
    <w:rsid w:val="007E3F35"/>
    <w:rsid w:val="007F1B05"/>
    <w:rsid w:val="007F3CB4"/>
    <w:rsid w:val="008239EB"/>
    <w:rsid w:val="0087540B"/>
    <w:rsid w:val="00891BE6"/>
    <w:rsid w:val="008A46FA"/>
    <w:rsid w:val="008E50C4"/>
    <w:rsid w:val="009238A1"/>
    <w:rsid w:val="009301A5"/>
    <w:rsid w:val="00940A81"/>
    <w:rsid w:val="00942AB9"/>
    <w:rsid w:val="0095578C"/>
    <w:rsid w:val="009566B5"/>
    <w:rsid w:val="00964F33"/>
    <w:rsid w:val="009731E1"/>
    <w:rsid w:val="00973BFF"/>
    <w:rsid w:val="009A1255"/>
    <w:rsid w:val="009A67D6"/>
    <w:rsid w:val="009C4F4C"/>
    <w:rsid w:val="009C5D0B"/>
    <w:rsid w:val="009D0904"/>
    <w:rsid w:val="009D22BD"/>
    <w:rsid w:val="009D28BD"/>
    <w:rsid w:val="009D43BB"/>
    <w:rsid w:val="009D4A4A"/>
    <w:rsid w:val="009E0236"/>
    <w:rsid w:val="00A43343"/>
    <w:rsid w:val="00A445A2"/>
    <w:rsid w:val="00A56912"/>
    <w:rsid w:val="00A73B45"/>
    <w:rsid w:val="00A81EB1"/>
    <w:rsid w:val="00A93044"/>
    <w:rsid w:val="00AA1143"/>
    <w:rsid w:val="00AB5230"/>
    <w:rsid w:val="00AB61F4"/>
    <w:rsid w:val="00AC0485"/>
    <w:rsid w:val="00AD27AC"/>
    <w:rsid w:val="00AE34B0"/>
    <w:rsid w:val="00AF039B"/>
    <w:rsid w:val="00AF5BBC"/>
    <w:rsid w:val="00B13F53"/>
    <w:rsid w:val="00B24D83"/>
    <w:rsid w:val="00B26D74"/>
    <w:rsid w:val="00B31A30"/>
    <w:rsid w:val="00B44FDE"/>
    <w:rsid w:val="00B55200"/>
    <w:rsid w:val="00B57AE7"/>
    <w:rsid w:val="00B67A31"/>
    <w:rsid w:val="00B77749"/>
    <w:rsid w:val="00B850E4"/>
    <w:rsid w:val="00BA3865"/>
    <w:rsid w:val="00BA4082"/>
    <w:rsid w:val="00BA4156"/>
    <w:rsid w:val="00BB07FA"/>
    <w:rsid w:val="00BB5A25"/>
    <w:rsid w:val="00BC408E"/>
    <w:rsid w:val="00BC5FF6"/>
    <w:rsid w:val="00BC7757"/>
    <w:rsid w:val="00BF55F4"/>
    <w:rsid w:val="00C17538"/>
    <w:rsid w:val="00C17FCB"/>
    <w:rsid w:val="00C4077C"/>
    <w:rsid w:val="00C42459"/>
    <w:rsid w:val="00C45058"/>
    <w:rsid w:val="00C46410"/>
    <w:rsid w:val="00C47FFE"/>
    <w:rsid w:val="00C50C45"/>
    <w:rsid w:val="00C515D3"/>
    <w:rsid w:val="00C64000"/>
    <w:rsid w:val="00C76C39"/>
    <w:rsid w:val="00C92067"/>
    <w:rsid w:val="00C93B19"/>
    <w:rsid w:val="00CA0212"/>
    <w:rsid w:val="00CA20F0"/>
    <w:rsid w:val="00CA2492"/>
    <w:rsid w:val="00CB0C1B"/>
    <w:rsid w:val="00CB755A"/>
    <w:rsid w:val="00D0426C"/>
    <w:rsid w:val="00D4678F"/>
    <w:rsid w:val="00D46EE4"/>
    <w:rsid w:val="00D535D2"/>
    <w:rsid w:val="00D53680"/>
    <w:rsid w:val="00D70EC7"/>
    <w:rsid w:val="00DA6924"/>
    <w:rsid w:val="00DB65FC"/>
    <w:rsid w:val="00DB7A0D"/>
    <w:rsid w:val="00DC1612"/>
    <w:rsid w:val="00DC1D8A"/>
    <w:rsid w:val="00DD25D4"/>
    <w:rsid w:val="00DE4AEE"/>
    <w:rsid w:val="00E10440"/>
    <w:rsid w:val="00E26E5E"/>
    <w:rsid w:val="00E32489"/>
    <w:rsid w:val="00E446E5"/>
    <w:rsid w:val="00E50CD0"/>
    <w:rsid w:val="00E756A7"/>
    <w:rsid w:val="00E9250C"/>
    <w:rsid w:val="00EB3AE5"/>
    <w:rsid w:val="00EB664F"/>
    <w:rsid w:val="00EC022A"/>
    <w:rsid w:val="00EF75FE"/>
    <w:rsid w:val="00EF7805"/>
    <w:rsid w:val="00F0088D"/>
    <w:rsid w:val="00F33693"/>
    <w:rsid w:val="00F45673"/>
    <w:rsid w:val="00F46732"/>
    <w:rsid w:val="00F602B7"/>
    <w:rsid w:val="00F67795"/>
    <w:rsid w:val="00F72556"/>
    <w:rsid w:val="00F74426"/>
    <w:rsid w:val="00F77FE0"/>
    <w:rsid w:val="00F828FE"/>
    <w:rsid w:val="00F9564C"/>
    <w:rsid w:val="00FA0637"/>
    <w:rsid w:val="00FA07D2"/>
    <w:rsid w:val="00FA657F"/>
    <w:rsid w:val="00FC0B20"/>
    <w:rsid w:val="00FC19BD"/>
    <w:rsid w:val="00FC27CC"/>
    <w:rsid w:val="00FC498F"/>
    <w:rsid w:val="00FC7749"/>
    <w:rsid w:val="00FF2FFC"/>
    <w:rsid w:val="013145B7"/>
    <w:rsid w:val="01DA08E5"/>
    <w:rsid w:val="02A03C82"/>
    <w:rsid w:val="03864E4D"/>
    <w:rsid w:val="039C3B9E"/>
    <w:rsid w:val="04FD079B"/>
    <w:rsid w:val="05E870E4"/>
    <w:rsid w:val="099E341A"/>
    <w:rsid w:val="09BB5A06"/>
    <w:rsid w:val="0A45083B"/>
    <w:rsid w:val="0B1D385F"/>
    <w:rsid w:val="0B316922"/>
    <w:rsid w:val="0C013FDF"/>
    <w:rsid w:val="0C214C43"/>
    <w:rsid w:val="0C843A0D"/>
    <w:rsid w:val="0E0026A7"/>
    <w:rsid w:val="108871FF"/>
    <w:rsid w:val="12C30DE3"/>
    <w:rsid w:val="13352BF3"/>
    <w:rsid w:val="13DA3061"/>
    <w:rsid w:val="1436628C"/>
    <w:rsid w:val="14406655"/>
    <w:rsid w:val="15050F58"/>
    <w:rsid w:val="185B2527"/>
    <w:rsid w:val="1962569C"/>
    <w:rsid w:val="19796AAB"/>
    <w:rsid w:val="1C094D8D"/>
    <w:rsid w:val="1C13429A"/>
    <w:rsid w:val="1C164009"/>
    <w:rsid w:val="1C8C2C60"/>
    <w:rsid w:val="1D427D3F"/>
    <w:rsid w:val="1DB92F46"/>
    <w:rsid w:val="1FB11027"/>
    <w:rsid w:val="20B37AB1"/>
    <w:rsid w:val="23AE3F80"/>
    <w:rsid w:val="23CE0DBF"/>
    <w:rsid w:val="24223097"/>
    <w:rsid w:val="24D46F7A"/>
    <w:rsid w:val="252420DE"/>
    <w:rsid w:val="25951FFA"/>
    <w:rsid w:val="25C63160"/>
    <w:rsid w:val="25CF33B4"/>
    <w:rsid w:val="265D19B5"/>
    <w:rsid w:val="29A63B8B"/>
    <w:rsid w:val="29C62748"/>
    <w:rsid w:val="29FF5DCF"/>
    <w:rsid w:val="2C251AF6"/>
    <w:rsid w:val="2C905377"/>
    <w:rsid w:val="2D237BB9"/>
    <w:rsid w:val="2D9950A7"/>
    <w:rsid w:val="2DBD4AA5"/>
    <w:rsid w:val="2DE22781"/>
    <w:rsid w:val="2E5D7089"/>
    <w:rsid w:val="2EE550B8"/>
    <w:rsid w:val="2F2D5E8D"/>
    <w:rsid w:val="2F6C1B66"/>
    <w:rsid w:val="2FD33356"/>
    <w:rsid w:val="2FFD0929"/>
    <w:rsid w:val="30C37080"/>
    <w:rsid w:val="3224371F"/>
    <w:rsid w:val="327A1CAB"/>
    <w:rsid w:val="328820FC"/>
    <w:rsid w:val="331C7CF1"/>
    <w:rsid w:val="33391A56"/>
    <w:rsid w:val="344308A7"/>
    <w:rsid w:val="35FF77B4"/>
    <w:rsid w:val="366A1133"/>
    <w:rsid w:val="375947FA"/>
    <w:rsid w:val="38365558"/>
    <w:rsid w:val="387F33B9"/>
    <w:rsid w:val="38A4706D"/>
    <w:rsid w:val="3A490EF9"/>
    <w:rsid w:val="3A8272FB"/>
    <w:rsid w:val="3B1B5E96"/>
    <w:rsid w:val="3EE33A28"/>
    <w:rsid w:val="40AF3672"/>
    <w:rsid w:val="41193988"/>
    <w:rsid w:val="41E12D00"/>
    <w:rsid w:val="42382AC2"/>
    <w:rsid w:val="42B14A1B"/>
    <w:rsid w:val="43E86EEB"/>
    <w:rsid w:val="44B52F6E"/>
    <w:rsid w:val="46024FB1"/>
    <w:rsid w:val="462969FE"/>
    <w:rsid w:val="46EE6349"/>
    <w:rsid w:val="484B4FD1"/>
    <w:rsid w:val="4879369C"/>
    <w:rsid w:val="48A34D95"/>
    <w:rsid w:val="48E96E8C"/>
    <w:rsid w:val="4A4D1DE3"/>
    <w:rsid w:val="4B534EFD"/>
    <w:rsid w:val="4B990B26"/>
    <w:rsid w:val="4BE1093C"/>
    <w:rsid w:val="4C9725A0"/>
    <w:rsid w:val="4E397CAC"/>
    <w:rsid w:val="4FEF6B85"/>
    <w:rsid w:val="501F7CD2"/>
    <w:rsid w:val="506C691B"/>
    <w:rsid w:val="51172C74"/>
    <w:rsid w:val="51FC3DE9"/>
    <w:rsid w:val="52410C37"/>
    <w:rsid w:val="535D3166"/>
    <w:rsid w:val="53684774"/>
    <w:rsid w:val="53AF2B5C"/>
    <w:rsid w:val="559F06AA"/>
    <w:rsid w:val="55E724B0"/>
    <w:rsid w:val="562051E3"/>
    <w:rsid w:val="564A5A96"/>
    <w:rsid w:val="57322CED"/>
    <w:rsid w:val="5A702E79"/>
    <w:rsid w:val="5ABD4917"/>
    <w:rsid w:val="5AD2709C"/>
    <w:rsid w:val="5BD504E4"/>
    <w:rsid w:val="5BE50CB8"/>
    <w:rsid w:val="5BF42A70"/>
    <w:rsid w:val="5C444B01"/>
    <w:rsid w:val="5DD06CC8"/>
    <w:rsid w:val="5EA3518A"/>
    <w:rsid w:val="609D33A1"/>
    <w:rsid w:val="61324EA0"/>
    <w:rsid w:val="61ED6806"/>
    <w:rsid w:val="61F877FB"/>
    <w:rsid w:val="6321347D"/>
    <w:rsid w:val="648C13D7"/>
    <w:rsid w:val="66452950"/>
    <w:rsid w:val="668B1EC2"/>
    <w:rsid w:val="670445A5"/>
    <w:rsid w:val="67B26073"/>
    <w:rsid w:val="68392F8B"/>
    <w:rsid w:val="695C2F75"/>
    <w:rsid w:val="6A301B31"/>
    <w:rsid w:val="6AB95DD9"/>
    <w:rsid w:val="6AF039B9"/>
    <w:rsid w:val="6B0857B4"/>
    <w:rsid w:val="6B6E343B"/>
    <w:rsid w:val="6C290A92"/>
    <w:rsid w:val="6EE758DC"/>
    <w:rsid w:val="6F2452FF"/>
    <w:rsid w:val="6FD4737D"/>
    <w:rsid w:val="7002014D"/>
    <w:rsid w:val="7040219C"/>
    <w:rsid w:val="72BC28FF"/>
    <w:rsid w:val="76152E49"/>
    <w:rsid w:val="762A1EDC"/>
    <w:rsid w:val="766C18D6"/>
    <w:rsid w:val="77200C00"/>
    <w:rsid w:val="777F26FE"/>
    <w:rsid w:val="7807652E"/>
    <w:rsid w:val="7AD85E61"/>
    <w:rsid w:val="7B932EAB"/>
    <w:rsid w:val="7C4A70F7"/>
    <w:rsid w:val="7C712E88"/>
    <w:rsid w:val="7C87610D"/>
    <w:rsid w:val="7D0004CE"/>
    <w:rsid w:val="7D3E32F5"/>
    <w:rsid w:val="7FCC6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link w:val="19"/>
    <w:unhideWhenUsed/>
    <w:qFormat/>
    <w:uiPriority w:val="9"/>
    <w:pPr>
      <w:keepNext/>
      <w:keepLines/>
      <w:numPr>
        <w:ilvl w:val="1"/>
        <w:numId w:val="2"/>
      </w:numPr>
      <w:adjustRightInd w:val="0"/>
      <w:spacing w:before="120" w:after="120"/>
      <w:ind w:left="735" w:hanging="450"/>
      <w:textAlignment w:val="baseline"/>
      <w:outlineLvl w:val="1"/>
    </w:pPr>
    <w:rPr>
      <w:rFonts w:hAnsi="Arial" w:eastAsia="黑体"/>
      <w:b/>
      <w:kern w:val="44"/>
    </w:rPr>
  </w:style>
  <w:style w:type="paragraph" w:styleId="5">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w:basedOn w:val="1"/>
    <w:qFormat/>
    <w:uiPriority w:val="0"/>
    <w:pPr>
      <w:spacing w:after="120"/>
    </w:pPr>
  </w:style>
  <w:style w:type="paragraph" w:styleId="7">
    <w:name w:val="Body Text Indent"/>
    <w:basedOn w:val="1"/>
    <w:qFormat/>
    <w:uiPriority w:val="0"/>
    <w:pPr>
      <w:adjustRightInd w:val="0"/>
      <w:spacing w:line="600" w:lineRule="atLeast"/>
      <w:ind w:firstLine="560" w:firstLineChars="200"/>
      <w:textAlignment w:val="baseline"/>
    </w:pPr>
    <w:rPr>
      <w:kern w:val="0"/>
      <w:sz w:val="28"/>
      <w:szCs w:val="20"/>
    </w:rPr>
  </w:style>
  <w:style w:type="paragraph" w:styleId="8">
    <w:name w:val="Block Text"/>
    <w:basedOn w:val="1"/>
    <w:unhideWhenUsed/>
    <w:qFormat/>
    <w:uiPriority w:val="99"/>
    <w:pPr>
      <w:ind w:left="480" w:right="-1414"/>
      <w:jc w:val="left"/>
    </w:pPr>
    <w:rPr>
      <w:rFonts w:ascii="仿宋_GB2312"/>
    </w:rPr>
  </w:style>
  <w:style w:type="paragraph" w:styleId="9">
    <w:name w:val="Plain Text"/>
    <w:basedOn w:val="1"/>
    <w:qFormat/>
    <w:uiPriority w:val="0"/>
    <w:rPr>
      <w:rFonts w:ascii="宋体" w:hAnsi="Courier New"/>
      <w:sz w:val="24"/>
      <w:szCs w:val="20"/>
    </w:rPr>
  </w:style>
  <w:style w:type="paragraph" w:styleId="10">
    <w:name w:val="Balloon Text"/>
    <w:basedOn w:val="1"/>
    <w:link w:val="21"/>
    <w:unhideWhenUsed/>
    <w:qFormat/>
    <w:uiPriority w:val="99"/>
    <w:rPr>
      <w:sz w:val="18"/>
      <w:szCs w:val="18"/>
    </w:rPr>
  </w:style>
  <w:style w:type="paragraph" w:styleId="11">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customStyle="1" w:styleId="16">
    <w:name w:val="页眉 Char"/>
    <w:basedOn w:val="14"/>
    <w:link w:val="2"/>
    <w:semiHidden/>
    <w:qFormat/>
    <w:uiPriority w:val="99"/>
    <w:rPr>
      <w:sz w:val="18"/>
      <w:szCs w:val="18"/>
    </w:rPr>
  </w:style>
  <w:style w:type="character" w:customStyle="1" w:styleId="17">
    <w:name w:val="页脚 Char"/>
    <w:basedOn w:val="14"/>
    <w:link w:val="11"/>
    <w:qFormat/>
    <w:uiPriority w:val="99"/>
    <w:rPr>
      <w:sz w:val="18"/>
      <w:szCs w:val="18"/>
    </w:rPr>
  </w:style>
  <w:style w:type="paragraph" w:customStyle="1" w:styleId="18">
    <w:name w:val="无间隔1"/>
    <w:qFormat/>
    <w:uiPriority w:val="1"/>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9">
    <w:name w:val="标题 2 Char"/>
    <w:basedOn w:val="14"/>
    <w:link w:val="4"/>
    <w:qFormat/>
    <w:uiPriority w:val="0"/>
    <w:rPr>
      <w:rFonts w:hAnsi="Arial" w:eastAsia="黑体"/>
      <w:b/>
      <w:kern w:val="44"/>
    </w:rPr>
  </w:style>
  <w:style w:type="character" w:customStyle="1" w:styleId="20">
    <w:name w:val="标题1"/>
    <w:basedOn w:val="14"/>
    <w:qFormat/>
    <w:uiPriority w:val="0"/>
  </w:style>
  <w:style w:type="character" w:customStyle="1" w:styleId="21">
    <w:name w:val="批注框文本 Char"/>
    <w:basedOn w:val="14"/>
    <w:link w:val="10"/>
    <w:semiHidden/>
    <w:qFormat/>
    <w:uiPriority w:val="99"/>
    <w:rPr>
      <w:rFonts w:ascii="Times New Roman" w:hAnsi="Times New Roman" w:eastAsia="宋体" w:cs="Times New Roman"/>
      <w:kern w:val="2"/>
      <w:sz w:val="18"/>
      <w:szCs w:val="18"/>
    </w:rPr>
  </w:style>
  <w:style w:type="paragraph" w:styleId="22">
    <w:name w:val="List Paragraph"/>
    <w:basedOn w:val="1"/>
    <w:unhideWhenUsed/>
    <w:qFormat/>
    <w:uiPriority w:val="99"/>
    <w:pPr>
      <w:ind w:firstLine="420" w:firstLineChars="200"/>
    </w:pPr>
  </w:style>
  <w:style w:type="paragraph" w:customStyle="1" w:styleId="23">
    <w:name w:val="样式 标题 1 + 四号 段前: 3 磅 段后: 0 磅 行距: 1.5 倍行距"/>
    <w:basedOn w:val="3"/>
    <w:qFormat/>
    <w:uiPriority w:val="0"/>
    <w:pPr>
      <w:spacing w:before="60" w:after="0" w:line="360" w:lineRule="auto"/>
    </w:pPr>
    <w:rPr>
      <w:rFonts w:eastAsia="黑体" w:cs="宋体"/>
      <w:sz w:val="28"/>
      <w:szCs w:val="20"/>
    </w:rPr>
  </w:style>
  <w:style w:type="character" w:customStyle="1" w:styleId="24">
    <w:name w:val="font21"/>
    <w:basedOn w:val="14"/>
    <w:qFormat/>
    <w:uiPriority w:val="0"/>
    <w:rPr>
      <w:rFonts w:hint="default" w:ascii="Times New Roman" w:hAnsi="Times New Roman" w:cs="Times New Roman"/>
      <w:color w:val="000000"/>
      <w:sz w:val="24"/>
      <w:szCs w:val="24"/>
      <w:u w:val="none"/>
    </w:rPr>
  </w:style>
  <w:style w:type="character" w:customStyle="1" w:styleId="25">
    <w:name w:val="font31"/>
    <w:basedOn w:val="14"/>
    <w:qFormat/>
    <w:uiPriority w:val="0"/>
    <w:rPr>
      <w:rFonts w:hint="eastAsia" w:ascii="宋体" w:hAnsi="宋体" w:eastAsia="宋体" w:cs="宋体"/>
      <w:color w:val="000000"/>
      <w:sz w:val="24"/>
      <w:szCs w:val="24"/>
      <w:u w:val="none"/>
    </w:rPr>
  </w:style>
  <w:style w:type="paragraph" w:customStyle="1" w:styleId="26">
    <w:name w:val="报告正文"/>
    <w:basedOn w:val="1"/>
    <w:qFormat/>
    <w:uiPriority w:val="0"/>
    <w:pPr>
      <w:spacing w:line="360" w:lineRule="auto"/>
      <w:ind w:firstLine="200" w:firstLineChars="200"/>
      <w:jc w:val="left"/>
    </w:pPr>
    <w:rPr>
      <w:sz w:val="24"/>
    </w:rPr>
  </w:style>
  <w:style w:type="character" w:customStyle="1" w:styleId="27">
    <w:name w:val="fontstyle01"/>
    <w:basedOn w:val="14"/>
    <w:qFormat/>
    <w:uiPriority w:val="0"/>
    <w:rPr>
      <w:rFonts w:hint="eastAsia" w:ascii="宋体" w:hAnsi="宋体" w:eastAsia="宋体"/>
      <w:color w:val="000000"/>
      <w:sz w:val="24"/>
      <w:szCs w:val="24"/>
    </w:rPr>
  </w:style>
  <w:style w:type="paragraph" w:customStyle="1" w:styleId="2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C0F912-2E2F-47ED-A2E4-0192190AA64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462</Words>
  <Characters>2637</Characters>
  <Lines>21</Lines>
  <Paragraphs>6</Paragraphs>
  <TotalTime>3</TotalTime>
  <ScaleCrop>false</ScaleCrop>
  <LinksUpToDate>false</LinksUpToDate>
  <CharactersWithSpaces>3093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2017-06-13T06:21:00Z</dcterms:created>
  <dc:creator>微软用户</dc:creator>
  <cp:lastModifiedBy>Tyler</cp:lastModifiedBy>
  <dcterms:modified xsi:type="dcterms:W3CDTF">2021-08-03T01:46:55Z</dcterms:modified>
  <cp:revision>1330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E38154B64ACD4E398CC4923F30AE8EA6</vt:lpwstr>
  </property>
</Properties>
</file>